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hd w:fill="ffffff" w:val="clear"/>
        <w:spacing w:before="240" w:lineRule="auto"/>
        <w:rPr>
          <w:color w:val="424242"/>
          <w:sz w:val="21"/>
          <w:szCs w:val="21"/>
        </w:rPr>
      </w:pPr>
      <w:hyperlink r:id="rId6">
        <w:r w:rsidDel="00000000" w:rsidR="00000000" w:rsidRPr="00000000">
          <w:rPr>
            <w:color w:val="027eb5"/>
            <w:sz w:val="21"/>
            <w:szCs w:val="21"/>
            <w:u w:val="single"/>
            <w:rtl w:val="0"/>
          </w:rPr>
          <w:t xml:space="preserve">Figure 17.3</w:t>
        </w:r>
      </w:hyperlink>
      <w:r w:rsidDel="00000000" w:rsidR="00000000" w:rsidRPr="00000000">
        <w:rPr>
          <w:color w:val="424242"/>
          <w:sz w:val="21"/>
          <w:szCs w:val="21"/>
          <w:rtl w:val="0"/>
        </w:rPr>
        <w:t xml:space="preserve"> illustrates the position of banks as a financial intermediary, with a pattern of deposits flowing into a bank and loans flowing out, and then repayment of the loans flowing back to the bank, with interest payments for the original savers.</w:t>
      </w:r>
    </w:p>
    <w:p w:rsidR="00000000" w:rsidDel="00000000" w:rsidP="00000000" w:rsidRDefault="00000000" w:rsidRPr="00000000" w14:paraId="00000003">
      <w:pPr>
        <w:shd w:fill="ffffff" w:val="clear"/>
        <w:jc w:val="center"/>
        <w:rPr>
          <w:color w:val="424242"/>
          <w:sz w:val="21"/>
          <w:szCs w:val="21"/>
        </w:rPr>
      </w:pPr>
      <w:r w:rsidDel="00000000" w:rsidR="00000000" w:rsidRPr="00000000">
        <w:rPr>
          <w:color w:val="424242"/>
          <w:sz w:val="21"/>
          <w:szCs w:val="21"/>
        </w:rPr>
        <w:drawing>
          <wp:inline distB="114300" distT="114300" distL="114300" distR="114300">
            <wp:extent cx="5572125" cy="2686050"/>
            <wp:effectExtent b="0" l="0" r="0" t="0"/>
            <wp:docPr descr="The illustration shows the circular transactions between savers, banks, and borrowers. Savers give deposits to banks, and the bank provides them with withdrawals and interest payments. Borrowers give repayment of loans and interest payments to banks, and the banks provide them with loans." id="1" name="image2.jpg"/>
            <a:graphic>
              <a:graphicData uri="http://schemas.openxmlformats.org/drawingml/2006/picture">
                <pic:pic>
                  <pic:nvPicPr>
                    <pic:cNvPr descr="The illustration shows the circular transactions between savers, banks, and borrowers. Savers give deposits to banks, and the bank provides them with withdrawals and interest payments. Borrowers give repayment of loans and interest payments to banks, and the banks provide them with loans." id="0" name="image2.jpg"/>
                    <pic:cNvPicPr preferRelativeResize="0"/>
                  </pic:nvPicPr>
                  <pic:blipFill>
                    <a:blip r:embed="rId7"/>
                    <a:srcRect b="0" l="0" r="0" t="0"/>
                    <a:stretch>
                      <a:fillRect/>
                    </a:stretch>
                  </pic:blipFill>
                  <pic:spPr>
                    <a:xfrm>
                      <a:off x="0" y="0"/>
                      <a:ext cx="5572125" cy="268605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hd w:fill="ffffff" w:val="clear"/>
        <w:rPr>
          <w:color w:val="424242"/>
          <w:sz w:val="21"/>
          <w:szCs w:val="21"/>
        </w:rPr>
      </w:pPr>
      <w:r w:rsidDel="00000000" w:rsidR="00000000" w:rsidRPr="00000000">
        <w:rPr>
          <w:b w:val="1"/>
          <w:color w:val="424242"/>
          <w:sz w:val="21"/>
          <w:szCs w:val="21"/>
          <w:rtl w:val="0"/>
        </w:rPr>
        <w:t xml:space="preserve">Figure 17.3</w:t>
      </w:r>
      <w:r w:rsidDel="00000000" w:rsidR="00000000" w:rsidRPr="00000000">
        <w:rPr>
          <w:color w:val="424242"/>
          <w:sz w:val="21"/>
          <w:szCs w:val="21"/>
          <w:rtl w:val="0"/>
        </w:rPr>
        <w:t xml:space="preserve"> </w:t>
      </w:r>
      <w:r w:rsidDel="00000000" w:rsidR="00000000" w:rsidRPr="00000000">
        <w:rPr>
          <w:b w:val="1"/>
          <w:color w:val="424242"/>
          <w:sz w:val="21"/>
          <w:szCs w:val="21"/>
          <w:rtl w:val="0"/>
        </w:rPr>
        <w:t xml:space="preserve">Banks as Financial Intermediaries</w:t>
      </w:r>
      <w:r w:rsidDel="00000000" w:rsidR="00000000" w:rsidRPr="00000000">
        <w:rPr>
          <w:color w:val="424242"/>
          <w:sz w:val="21"/>
          <w:szCs w:val="21"/>
          <w:rtl w:val="0"/>
        </w:rPr>
        <w:t xml:space="preserve"> Banks are a financial intermediary because they stand between savers and borrowers. Savers place deposits with banks, and then receive interest payments and withdraw money. Borrowers receive loans from banks, and repay the loans with interest.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hd w:fill="ffffff" w:val="clear"/>
        <w:spacing w:before="240" w:lineRule="auto"/>
        <w:rPr/>
      </w:pPr>
      <w:r w:rsidDel="00000000" w:rsidR="00000000" w:rsidRPr="00000000">
        <w:rPr>
          <w:rtl w:val="0"/>
        </w:rPr>
      </w:r>
    </w:p>
    <w:p w:rsidR="00000000" w:rsidDel="00000000" w:rsidP="00000000" w:rsidRDefault="00000000" w:rsidRPr="00000000" w14:paraId="00000008">
      <w:pPr>
        <w:shd w:fill="ffffff" w:val="clear"/>
        <w:spacing w:before="240" w:lineRule="auto"/>
        <w:rPr/>
      </w:pPr>
      <w:r w:rsidDel="00000000" w:rsidR="00000000" w:rsidRPr="00000000">
        <w:rPr>
          <w:rtl w:val="0"/>
        </w:rPr>
      </w:r>
    </w:p>
    <w:p w:rsidR="00000000" w:rsidDel="00000000" w:rsidP="00000000" w:rsidRDefault="00000000" w:rsidRPr="00000000" w14:paraId="00000009">
      <w:pPr>
        <w:shd w:fill="ffffff" w:val="clear"/>
        <w:spacing w:before="240" w:lineRule="auto"/>
        <w:rPr/>
      </w:pPr>
      <w:r w:rsidDel="00000000" w:rsidR="00000000" w:rsidRPr="00000000">
        <w:rPr>
          <w:rtl w:val="0"/>
        </w:rPr>
      </w:r>
    </w:p>
    <w:p w:rsidR="00000000" w:rsidDel="00000000" w:rsidP="00000000" w:rsidRDefault="00000000" w:rsidRPr="00000000" w14:paraId="0000000A">
      <w:pPr>
        <w:shd w:fill="ffffff" w:val="clear"/>
        <w:spacing w:before="240" w:lineRule="auto"/>
        <w:rPr/>
      </w:pPr>
      <w:r w:rsidDel="00000000" w:rsidR="00000000" w:rsidRPr="00000000">
        <w:rPr>
          <w:rtl w:val="0"/>
        </w:rPr>
      </w:r>
    </w:p>
    <w:p w:rsidR="00000000" w:rsidDel="00000000" w:rsidP="00000000" w:rsidRDefault="00000000" w:rsidRPr="00000000" w14:paraId="0000000B">
      <w:pPr>
        <w:shd w:fill="ffffff" w:val="clear"/>
        <w:spacing w:before="240" w:lineRule="auto"/>
        <w:rPr/>
      </w:pPr>
      <w:r w:rsidDel="00000000" w:rsidR="00000000" w:rsidRPr="00000000">
        <w:rPr>
          <w:rtl w:val="0"/>
        </w:rPr>
      </w:r>
    </w:p>
    <w:p w:rsidR="00000000" w:rsidDel="00000000" w:rsidP="00000000" w:rsidRDefault="00000000" w:rsidRPr="00000000" w14:paraId="0000000C">
      <w:pPr>
        <w:shd w:fill="ffffff" w:val="clear"/>
        <w:spacing w:before="240" w:lineRule="auto"/>
        <w:rPr/>
      </w:pPr>
      <w:r w:rsidDel="00000000" w:rsidR="00000000" w:rsidRPr="00000000">
        <w:rPr>
          <w:rtl w:val="0"/>
        </w:rPr>
      </w:r>
    </w:p>
    <w:p w:rsidR="00000000" w:rsidDel="00000000" w:rsidP="00000000" w:rsidRDefault="00000000" w:rsidRPr="00000000" w14:paraId="0000000D">
      <w:pPr>
        <w:shd w:fill="ffffff" w:val="clear"/>
        <w:spacing w:before="240" w:lineRule="auto"/>
        <w:rPr/>
      </w:pPr>
      <w:r w:rsidDel="00000000" w:rsidR="00000000" w:rsidRPr="00000000">
        <w:rPr>
          <w:rtl w:val="0"/>
        </w:rPr>
      </w:r>
    </w:p>
    <w:p w:rsidR="00000000" w:rsidDel="00000000" w:rsidP="00000000" w:rsidRDefault="00000000" w:rsidRPr="00000000" w14:paraId="0000000E">
      <w:pPr>
        <w:shd w:fill="ffffff" w:val="clear"/>
        <w:spacing w:before="240" w:lineRule="auto"/>
        <w:rPr/>
      </w:pPr>
      <w:r w:rsidDel="00000000" w:rsidR="00000000" w:rsidRPr="00000000">
        <w:rPr>
          <w:rtl w:val="0"/>
        </w:rPr>
      </w:r>
    </w:p>
    <w:p w:rsidR="00000000" w:rsidDel="00000000" w:rsidP="00000000" w:rsidRDefault="00000000" w:rsidRPr="00000000" w14:paraId="0000000F">
      <w:pPr>
        <w:shd w:fill="ffffff" w:val="clear"/>
        <w:spacing w:before="240" w:lineRule="auto"/>
        <w:rPr/>
      </w:pPr>
      <w:r w:rsidDel="00000000" w:rsidR="00000000" w:rsidRPr="00000000">
        <w:rPr>
          <w:rtl w:val="0"/>
        </w:rPr>
      </w:r>
    </w:p>
    <w:p w:rsidR="00000000" w:rsidDel="00000000" w:rsidP="00000000" w:rsidRDefault="00000000" w:rsidRPr="00000000" w14:paraId="00000010">
      <w:pPr>
        <w:shd w:fill="ffffff" w:val="clear"/>
        <w:spacing w:before="240" w:lineRule="auto"/>
        <w:rPr/>
      </w:pPr>
      <w:r w:rsidDel="00000000" w:rsidR="00000000" w:rsidRPr="00000000">
        <w:rPr>
          <w:rtl w:val="0"/>
        </w:rPr>
      </w:r>
    </w:p>
    <w:p w:rsidR="00000000" w:rsidDel="00000000" w:rsidP="00000000" w:rsidRDefault="00000000" w:rsidRPr="00000000" w14:paraId="00000011">
      <w:pPr>
        <w:shd w:fill="ffffff" w:val="clear"/>
        <w:spacing w:before="240" w:lineRule="auto"/>
        <w:rPr>
          <w:color w:val="424242"/>
          <w:sz w:val="21"/>
          <w:szCs w:val="21"/>
        </w:rPr>
      </w:pPr>
      <w:hyperlink r:id="rId8">
        <w:r w:rsidDel="00000000" w:rsidR="00000000" w:rsidRPr="00000000">
          <w:rPr>
            <w:color w:val="027eb5"/>
            <w:sz w:val="21"/>
            <w:szCs w:val="21"/>
            <w:u w:val="single"/>
            <w:rtl w:val="0"/>
          </w:rPr>
          <w:t xml:space="preserve">Figure 17.4</w:t>
        </w:r>
      </w:hyperlink>
      <w:r w:rsidDel="00000000" w:rsidR="00000000" w:rsidRPr="00000000">
        <w:rPr>
          <w:color w:val="424242"/>
          <w:sz w:val="21"/>
          <w:szCs w:val="21"/>
          <w:rtl w:val="0"/>
        </w:rPr>
        <w:t xml:space="preserve"> shows the annual rate of interest paid on a six-month, one-year, and five-year CD since 1984, as reported by Bankrate.com. The interest rates that savings accounts pay are typically a little lower than the CD rate, because financial investors need to receive a slightly higher rate of interest as compensation for promising to leave deposits untouched for a period of time in a CD, and thus forfeiting some liquidity.</w:t>
      </w:r>
    </w:p>
    <w:p w:rsidR="00000000" w:rsidDel="00000000" w:rsidP="00000000" w:rsidRDefault="00000000" w:rsidRPr="00000000" w14:paraId="00000012">
      <w:pPr>
        <w:shd w:fill="ffffff" w:val="clear"/>
        <w:jc w:val="center"/>
        <w:rPr>
          <w:color w:val="424242"/>
          <w:sz w:val="21"/>
          <w:szCs w:val="21"/>
        </w:rPr>
      </w:pPr>
      <w:r w:rsidDel="00000000" w:rsidR="00000000" w:rsidRPr="00000000">
        <w:rPr>
          <w:color w:val="424242"/>
          <w:sz w:val="21"/>
          <w:szCs w:val="21"/>
        </w:rPr>
        <w:drawing>
          <wp:inline distB="114300" distT="114300" distL="114300" distR="114300">
            <wp:extent cx="5943600" cy="3644900"/>
            <wp:effectExtent b="0" l="0" r="0" t="0"/>
            <wp:docPr descr="The graph shows that interest rates for 6-month, 1-year, and 5-year CDs were highest between 1984 and 1986 with rates exceeding 9%. Today, they each have interest rates below 1.8%." id="2" name="image5.jpg"/>
            <a:graphic>
              <a:graphicData uri="http://schemas.openxmlformats.org/drawingml/2006/picture">
                <pic:pic>
                  <pic:nvPicPr>
                    <pic:cNvPr descr="The graph shows that interest rates for 6-month, 1-year, and 5-year CDs were highest between 1984 and 1986 with rates exceeding 9%. Today, they each have interest rates below 1.8%." id="0" name="image5.jpg"/>
                    <pic:cNvPicPr preferRelativeResize="0"/>
                  </pic:nvPicPr>
                  <pic:blipFill>
                    <a:blip r:embed="rId9"/>
                    <a:srcRect b="0" l="0" r="0" t="0"/>
                    <a:stretch>
                      <a:fillRect/>
                    </a:stretch>
                  </pic:blipFill>
                  <pic:spPr>
                    <a:xfrm>
                      <a:off x="0" y="0"/>
                      <a:ext cx="5943600" cy="36449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rPr>
          <w:color w:val="424242"/>
          <w:sz w:val="21"/>
          <w:szCs w:val="21"/>
        </w:rPr>
      </w:pPr>
      <w:r w:rsidDel="00000000" w:rsidR="00000000" w:rsidRPr="00000000">
        <w:rPr>
          <w:b w:val="1"/>
          <w:color w:val="424242"/>
          <w:sz w:val="21"/>
          <w:szCs w:val="21"/>
          <w:rtl w:val="0"/>
        </w:rPr>
        <w:t xml:space="preserve">Figure 17.4</w:t>
      </w:r>
      <w:r w:rsidDel="00000000" w:rsidR="00000000" w:rsidRPr="00000000">
        <w:rPr>
          <w:color w:val="424242"/>
          <w:sz w:val="21"/>
          <w:szCs w:val="21"/>
          <w:rtl w:val="0"/>
        </w:rPr>
        <w:t xml:space="preserve"> </w:t>
      </w:r>
      <w:r w:rsidDel="00000000" w:rsidR="00000000" w:rsidRPr="00000000">
        <w:rPr>
          <w:b w:val="1"/>
          <w:color w:val="424242"/>
          <w:sz w:val="21"/>
          <w:szCs w:val="21"/>
          <w:rtl w:val="0"/>
        </w:rPr>
        <w:t xml:space="preserve">Interest Rates on Six-Month, One-Year, and Five-Year Certificates of Deposit</w:t>
      </w:r>
      <w:r w:rsidDel="00000000" w:rsidR="00000000" w:rsidRPr="00000000">
        <w:rPr>
          <w:color w:val="424242"/>
          <w:sz w:val="21"/>
          <w:szCs w:val="21"/>
          <w:rtl w:val="0"/>
        </w:rPr>
        <w:t xml:space="preserve"> The interest rates on certificates of deposit have fluctuated over time. The high interest rates of the early 1980s are indicative of the relatively high inflation rate in the United States at that time. Interest rates fluctuate with the business cycle, typically increasing during expansions and decreasing during a recession. Note the steep decline in CD rates since 2008, the beginning of the Great Recession.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hd w:fill="ffffff" w:val="clear"/>
        <w:spacing w:before="240" w:lineRule="auto"/>
        <w:rPr/>
      </w:pPr>
      <w:r w:rsidDel="00000000" w:rsidR="00000000" w:rsidRPr="00000000">
        <w:rPr>
          <w:rtl w:val="0"/>
        </w:rPr>
      </w:r>
    </w:p>
    <w:p w:rsidR="00000000" w:rsidDel="00000000" w:rsidP="00000000" w:rsidRDefault="00000000" w:rsidRPr="00000000" w14:paraId="00000017">
      <w:pPr>
        <w:shd w:fill="ffffff" w:val="clear"/>
        <w:spacing w:before="240" w:lineRule="auto"/>
        <w:rPr/>
      </w:pPr>
      <w:r w:rsidDel="00000000" w:rsidR="00000000" w:rsidRPr="00000000">
        <w:rPr>
          <w:rtl w:val="0"/>
        </w:rPr>
      </w:r>
    </w:p>
    <w:p w:rsidR="00000000" w:rsidDel="00000000" w:rsidP="00000000" w:rsidRDefault="00000000" w:rsidRPr="00000000" w14:paraId="00000018">
      <w:pPr>
        <w:shd w:fill="ffffff" w:val="clear"/>
        <w:spacing w:before="240" w:lineRule="auto"/>
        <w:rPr/>
      </w:pPr>
      <w:r w:rsidDel="00000000" w:rsidR="00000000" w:rsidRPr="00000000">
        <w:rPr>
          <w:rtl w:val="0"/>
        </w:rPr>
      </w:r>
    </w:p>
    <w:p w:rsidR="00000000" w:rsidDel="00000000" w:rsidP="00000000" w:rsidRDefault="00000000" w:rsidRPr="00000000" w14:paraId="00000019">
      <w:pPr>
        <w:shd w:fill="ffffff" w:val="clear"/>
        <w:spacing w:before="240" w:lineRule="auto"/>
        <w:rPr/>
      </w:pPr>
      <w:r w:rsidDel="00000000" w:rsidR="00000000" w:rsidRPr="00000000">
        <w:rPr>
          <w:rtl w:val="0"/>
        </w:rPr>
      </w:r>
    </w:p>
    <w:p w:rsidR="00000000" w:rsidDel="00000000" w:rsidP="00000000" w:rsidRDefault="00000000" w:rsidRPr="00000000" w14:paraId="0000001A">
      <w:pPr>
        <w:shd w:fill="ffffff" w:val="clear"/>
        <w:spacing w:before="240" w:lineRule="auto"/>
        <w:rPr/>
      </w:pPr>
      <w:r w:rsidDel="00000000" w:rsidR="00000000" w:rsidRPr="00000000">
        <w:rPr>
          <w:rtl w:val="0"/>
        </w:rPr>
      </w:r>
    </w:p>
    <w:p w:rsidR="00000000" w:rsidDel="00000000" w:rsidP="00000000" w:rsidRDefault="00000000" w:rsidRPr="00000000" w14:paraId="0000001B">
      <w:pPr>
        <w:shd w:fill="ffffff" w:val="clear"/>
        <w:spacing w:before="240" w:lineRule="auto"/>
        <w:rPr/>
      </w:pPr>
      <w:r w:rsidDel="00000000" w:rsidR="00000000" w:rsidRPr="00000000">
        <w:rPr>
          <w:rtl w:val="0"/>
        </w:rPr>
      </w:r>
    </w:p>
    <w:p w:rsidR="00000000" w:rsidDel="00000000" w:rsidP="00000000" w:rsidRDefault="00000000" w:rsidRPr="00000000" w14:paraId="0000001C">
      <w:pPr>
        <w:shd w:fill="ffffff" w:val="clear"/>
        <w:spacing w:before="240" w:lineRule="auto"/>
        <w:rPr/>
      </w:pPr>
      <w:r w:rsidDel="00000000" w:rsidR="00000000" w:rsidRPr="00000000">
        <w:rPr>
          <w:rtl w:val="0"/>
        </w:rPr>
      </w:r>
    </w:p>
    <w:p w:rsidR="00000000" w:rsidDel="00000000" w:rsidP="00000000" w:rsidRDefault="00000000" w:rsidRPr="00000000" w14:paraId="0000001D">
      <w:pPr>
        <w:shd w:fill="ffffff" w:val="clear"/>
        <w:spacing w:before="240" w:lineRule="auto"/>
        <w:rPr>
          <w:color w:val="424242"/>
          <w:sz w:val="21"/>
          <w:szCs w:val="21"/>
        </w:rPr>
      </w:pPr>
      <w:hyperlink r:id="rId10">
        <w:r w:rsidDel="00000000" w:rsidR="00000000" w:rsidRPr="00000000">
          <w:rPr>
            <w:color w:val="027eb5"/>
            <w:sz w:val="21"/>
            <w:szCs w:val="21"/>
            <w:u w:val="single"/>
            <w:rtl w:val="0"/>
          </w:rPr>
          <w:t xml:space="preserve">Figure 17.5</w:t>
        </w:r>
      </w:hyperlink>
      <w:r w:rsidDel="00000000" w:rsidR="00000000" w:rsidRPr="00000000">
        <w:rPr>
          <w:color w:val="424242"/>
          <w:sz w:val="21"/>
          <w:szCs w:val="21"/>
          <w:rtl w:val="0"/>
        </w:rPr>
        <w:t xml:space="preserve"> shows bond yield for two kinds of bonds: 10-year Treasury bonds (which are officially called “notes”) and corporate bonds issued by firms that have been given an AAA rating as relatively safe borrowers by Moody’s, an independent firm that publishes such ratings. Even though corporate bonds pay a higher interest rate, because firms are riskier borrowers than the federal government, the rates tend to rise and fall together. Treasury bonds typically pay more than bank accounts, and corporate bonds typically pay a higher interest rate than Treasury bonds.</w:t>
      </w:r>
    </w:p>
    <w:p w:rsidR="00000000" w:rsidDel="00000000" w:rsidP="00000000" w:rsidRDefault="00000000" w:rsidRPr="00000000" w14:paraId="0000001E">
      <w:pPr>
        <w:shd w:fill="ffffff" w:val="clear"/>
        <w:jc w:val="center"/>
        <w:rPr>
          <w:color w:val="424242"/>
          <w:sz w:val="21"/>
          <w:szCs w:val="21"/>
        </w:rPr>
      </w:pPr>
      <w:r w:rsidDel="00000000" w:rsidR="00000000" w:rsidRPr="00000000">
        <w:rPr>
          <w:color w:val="424242"/>
          <w:sz w:val="21"/>
          <w:szCs w:val="21"/>
        </w:rPr>
        <w:drawing>
          <wp:inline distB="114300" distT="114300" distL="114300" distR="114300">
            <wp:extent cx="5572125" cy="2809875"/>
            <wp:effectExtent b="0" l="0" r="0" t="0"/>
            <wp:docPr descr="The two lines on the graph show that interest rates of corporate bonds and 10-year U.S. Treasury bonds tend to rise and fall at similar times. Corporate bonds, however, have always maintained a higher interest rate than 10-year U.S. treasury bonds." id="4" name="image3.jpg"/>
            <a:graphic>
              <a:graphicData uri="http://schemas.openxmlformats.org/drawingml/2006/picture">
                <pic:pic>
                  <pic:nvPicPr>
                    <pic:cNvPr descr="The two lines on the graph show that interest rates of corporate bonds and 10-year U.S. Treasury bonds tend to rise and fall at similar times. Corporate bonds, however, have always maintained a higher interest rate than 10-year U.S. treasury bonds." id="0" name="image3.jpg"/>
                    <pic:cNvPicPr preferRelativeResize="0"/>
                  </pic:nvPicPr>
                  <pic:blipFill>
                    <a:blip r:embed="rId11"/>
                    <a:srcRect b="0" l="0" r="0" t="0"/>
                    <a:stretch>
                      <a:fillRect/>
                    </a:stretch>
                  </pic:blipFill>
                  <pic:spPr>
                    <a:xfrm>
                      <a:off x="0" y="0"/>
                      <a:ext cx="5572125" cy="280987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hd w:fill="ffffff" w:val="clear"/>
        <w:rPr>
          <w:color w:val="424242"/>
          <w:sz w:val="21"/>
          <w:szCs w:val="21"/>
        </w:rPr>
      </w:pPr>
      <w:r w:rsidDel="00000000" w:rsidR="00000000" w:rsidRPr="00000000">
        <w:rPr>
          <w:b w:val="1"/>
          <w:color w:val="424242"/>
          <w:sz w:val="21"/>
          <w:szCs w:val="21"/>
          <w:rtl w:val="0"/>
        </w:rPr>
        <w:t xml:space="preserve">Figure 17.5</w:t>
      </w:r>
      <w:r w:rsidDel="00000000" w:rsidR="00000000" w:rsidRPr="00000000">
        <w:rPr>
          <w:color w:val="424242"/>
          <w:sz w:val="21"/>
          <w:szCs w:val="21"/>
          <w:rtl w:val="0"/>
        </w:rPr>
        <w:t xml:space="preserve"> </w:t>
      </w:r>
      <w:r w:rsidDel="00000000" w:rsidR="00000000" w:rsidRPr="00000000">
        <w:rPr>
          <w:b w:val="1"/>
          <w:color w:val="424242"/>
          <w:sz w:val="21"/>
          <w:szCs w:val="21"/>
          <w:rtl w:val="0"/>
        </w:rPr>
        <w:t xml:space="preserve">Interest Rates for Corporate Bonds and Ten-Year U.S. Treasury Bonds</w:t>
      </w:r>
      <w:r w:rsidDel="00000000" w:rsidR="00000000" w:rsidRPr="00000000">
        <w:rPr>
          <w:color w:val="424242"/>
          <w:sz w:val="21"/>
          <w:szCs w:val="21"/>
          <w:rtl w:val="0"/>
        </w:rPr>
        <w:t xml:space="preserve"> The interest rates for corporate bonds and U.S. Treasury bonds (officially “notes”) rise and fall together, depending on conditions for borrowers and lenders in financial markets for borrowing. The corporate bonds always pay a higher interest rate, to make up for the higher risk they have of defaulting compared with the U.S. government.</w:t>
      </w:r>
    </w:p>
    <w:p w:rsidR="00000000" w:rsidDel="00000000" w:rsidP="00000000" w:rsidRDefault="00000000" w:rsidRPr="00000000" w14:paraId="00000020">
      <w:pPr>
        <w:shd w:fill="ffffff" w:val="clear"/>
        <w:spacing w:before="240" w:lineRule="auto"/>
        <w:rPr>
          <w:color w:val="424242"/>
          <w:sz w:val="21"/>
          <w:szCs w:val="21"/>
        </w:rPr>
      </w:pPr>
      <w:r w:rsidDel="00000000" w:rsidR="00000000" w:rsidRPr="00000000">
        <w:rPr>
          <w:color w:val="424242"/>
          <w:sz w:val="21"/>
          <w:szCs w:val="21"/>
          <w:rtl w:val="0"/>
        </w:rPr>
        <w:t xml:space="preserve">The bottom line for bonds: rate of return—low to moderate, depending on the borrower's risk; risk—low to moderate, depending on whether interest rates in the economy change substantially after the bond is issued; liquidity—moderate, because the investor needs to sell the bond before the investor regains the cash.</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23">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24">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25">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26">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27">
      <w:pPr>
        <w:shd w:fill="ffffff" w:val="clear"/>
        <w:spacing w:before="240" w:lineRule="auto"/>
        <w:rPr>
          <w:color w:val="424242"/>
          <w:sz w:val="21"/>
          <w:szCs w:val="21"/>
        </w:rPr>
      </w:pPr>
      <w:r w:rsidDel="00000000" w:rsidR="00000000" w:rsidRPr="00000000">
        <w:rPr>
          <w:color w:val="424242"/>
          <w:sz w:val="21"/>
          <w:szCs w:val="21"/>
          <w:rtl w:val="0"/>
        </w:rPr>
        <w:t xml:space="preserve">Other stock market measures focus on where stocks are traded. For example, the New York Stock Exchange monitors the performance of stocks that are traded on that exchange in New York City. The Nasdaq stock market includes about 3,600 stocks, with a concentration of technology stocks. </w:t>
      </w:r>
      <w:hyperlink r:id="rId12">
        <w:r w:rsidDel="00000000" w:rsidR="00000000" w:rsidRPr="00000000">
          <w:rPr>
            <w:color w:val="027eb5"/>
            <w:sz w:val="21"/>
            <w:szCs w:val="21"/>
            <w:u w:val="single"/>
            <w:rtl w:val="0"/>
          </w:rPr>
          <w:t xml:space="preserve">Table 17.1</w:t>
        </w:r>
      </w:hyperlink>
      <w:r w:rsidDel="00000000" w:rsidR="00000000" w:rsidRPr="00000000">
        <w:rPr>
          <w:color w:val="424242"/>
          <w:sz w:val="21"/>
          <w:szCs w:val="21"/>
          <w:rtl w:val="0"/>
        </w:rPr>
        <w:t xml:space="preserve"> lists some of the most commonly cited measures of U.S. and international stock markets.</w:t>
      </w:r>
    </w:p>
    <w:tbl>
      <w:tblPr>
        <w:tblStyle w:val="Table1"/>
        <w:tblW w:w="9360.0" w:type="dxa"/>
        <w:jc w:val="left"/>
        <w:tblInd w:w="2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08.6131386861316"/>
        <w:gridCol w:w="6251.386861313868"/>
        <w:tblGridChange w:id="0">
          <w:tblGrid>
            <w:gridCol w:w="3108.6131386861316"/>
            <w:gridCol w:w="6251.386861313868"/>
          </w:tblGrid>
        </w:tblGridChange>
      </w:tblGrid>
      <w:tr>
        <w:trPr>
          <w:trHeight w:val="585" w:hRule="atLeast"/>
        </w:trPr>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28">
            <w:pPr>
              <w:spacing w:after="300" w:before="300" w:lineRule="auto"/>
              <w:rPr>
                <w:color w:val="424242"/>
                <w:sz w:val="21"/>
                <w:szCs w:val="21"/>
              </w:rPr>
            </w:pPr>
            <w:r w:rsidDel="00000000" w:rsidR="00000000" w:rsidRPr="00000000">
              <w:rPr>
                <w:b w:val="1"/>
                <w:color w:val="424242"/>
                <w:sz w:val="21"/>
                <w:szCs w:val="21"/>
                <w:rtl w:val="0"/>
              </w:rPr>
              <w:t xml:space="preserve">Measure of the Stock Market</w:t>
            </w:r>
            <w:r w:rsidDel="00000000" w:rsidR="00000000" w:rsidRPr="00000000">
              <w:rPr>
                <w:rtl w:val="0"/>
              </w:rPr>
            </w:r>
          </w:p>
        </w:tc>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29">
            <w:pPr>
              <w:spacing w:after="300" w:before="300" w:lineRule="auto"/>
              <w:rPr>
                <w:color w:val="424242"/>
                <w:sz w:val="21"/>
                <w:szCs w:val="21"/>
              </w:rPr>
            </w:pPr>
            <w:r w:rsidDel="00000000" w:rsidR="00000000" w:rsidRPr="00000000">
              <w:rPr>
                <w:b w:val="1"/>
                <w:color w:val="424242"/>
                <w:sz w:val="21"/>
                <w:szCs w:val="21"/>
                <w:rtl w:val="0"/>
              </w:rPr>
              <w:t xml:space="preserve">Comments</w:t>
            </w:r>
            <w:r w:rsidDel="00000000" w:rsidR="00000000" w:rsidRPr="00000000">
              <w:rPr>
                <w:rtl w:val="0"/>
              </w:rPr>
            </w:r>
          </w:p>
        </w:tc>
      </w:tr>
      <w:tr>
        <w:trPr>
          <w:trHeight w:val="870"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2A">
            <w:pPr>
              <w:spacing w:after="300" w:before="300" w:lineRule="auto"/>
              <w:rPr>
                <w:color w:val="424242"/>
                <w:sz w:val="21"/>
                <w:szCs w:val="21"/>
              </w:rPr>
            </w:pPr>
            <w:r w:rsidDel="00000000" w:rsidR="00000000" w:rsidRPr="00000000">
              <w:rPr>
                <w:color w:val="424242"/>
                <w:sz w:val="21"/>
                <w:szCs w:val="21"/>
                <w:rtl w:val="0"/>
              </w:rPr>
              <w:t xml:space="preserve">Dow Jones Industrial Average (DJIA): http://indexes.dowjones.com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2B">
            <w:pPr>
              <w:spacing w:after="300" w:before="300" w:lineRule="auto"/>
              <w:rPr>
                <w:color w:val="424242"/>
                <w:sz w:val="21"/>
                <w:szCs w:val="21"/>
              </w:rPr>
            </w:pPr>
            <w:r w:rsidDel="00000000" w:rsidR="00000000" w:rsidRPr="00000000">
              <w:rPr>
                <w:color w:val="424242"/>
                <w:sz w:val="21"/>
                <w:szCs w:val="21"/>
                <w:rtl w:val="0"/>
              </w:rPr>
              <w:t xml:space="preserve">Based on 30 large companies from a diverse set of representative industries, chosen by analysts at Dow Jones and Company. The index was started in 1896.</w:t>
            </w:r>
          </w:p>
        </w:tc>
      </w:tr>
      <w:tr>
        <w:trPr>
          <w:trHeight w:val="8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2C">
            <w:pPr>
              <w:spacing w:after="300" w:before="300" w:lineRule="auto"/>
              <w:rPr>
                <w:color w:val="424242"/>
                <w:sz w:val="21"/>
                <w:szCs w:val="21"/>
              </w:rPr>
            </w:pPr>
            <w:r w:rsidDel="00000000" w:rsidR="00000000" w:rsidRPr="00000000">
              <w:rPr>
                <w:color w:val="424242"/>
                <w:sz w:val="21"/>
                <w:szCs w:val="21"/>
                <w:rtl w:val="0"/>
              </w:rPr>
              <w:t xml:space="preserve">Standard &amp; Poor’s 500: http://www.standardandpoors.com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2D">
            <w:pPr>
              <w:spacing w:after="300" w:before="300" w:lineRule="auto"/>
              <w:rPr>
                <w:color w:val="424242"/>
                <w:sz w:val="21"/>
                <w:szCs w:val="21"/>
              </w:rPr>
            </w:pPr>
            <w:r w:rsidDel="00000000" w:rsidR="00000000" w:rsidRPr="00000000">
              <w:rPr>
                <w:color w:val="424242"/>
                <w:sz w:val="21"/>
                <w:szCs w:val="21"/>
                <w:rtl w:val="0"/>
              </w:rPr>
              <w:t xml:space="preserve">Based on 500 large U.S. firms, chosen by analysts at Standard &amp; Poor’s to represent the economy as a whole.</w:t>
            </w:r>
          </w:p>
        </w:tc>
      </w:tr>
      <w:tr>
        <w:trPr>
          <w:trHeight w:val="8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2E">
            <w:pPr>
              <w:spacing w:after="300" w:before="300" w:lineRule="auto"/>
              <w:rPr>
                <w:color w:val="424242"/>
                <w:sz w:val="21"/>
                <w:szCs w:val="21"/>
              </w:rPr>
            </w:pPr>
            <w:r w:rsidDel="00000000" w:rsidR="00000000" w:rsidRPr="00000000">
              <w:rPr>
                <w:color w:val="424242"/>
                <w:sz w:val="21"/>
                <w:szCs w:val="21"/>
                <w:rtl w:val="0"/>
              </w:rPr>
              <w:t xml:space="preserve">Wilshire 5000: http://www.wilshire.com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2F">
            <w:pPr>
              <w:spacing w:after="300" w:before="300" w:lineRule="auto"/>
              <w:rPr>
                <w:color w:val="424242"/>
                <w:sz w:val="21"/>
                <w:szCs w:val="21"/>
              </w:rPr>
            </w:pPr>
            <w:r w:rsidDel="00000000" w:rsidR="00000000" w:rsidRPr="00000000">
              <w:rPr>
                <w:color w:val="424242"/>
                <w:sz w:val="21"/>
                <w:szCs w:val="21"/>
                <w:rtl w:val="0"/>
              </w:rPr>
              <w:t xml:space="preserve">Includes essentially all U.S. companies with stock ownership. Despite the name, this index includes about 7,000 firms.</w:t>
            </w:r>
          </w:p>
        </w:tc>
      </w:tr>
      <w:tr>
        <w:trPr>
          <w:trHeight w:val="8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0">
            <w:pPr>
              <w:spacing w:after="300" w:before="300" w:lineRule="auto"/>
              <w:rPr>
                <w:color w:val="424242"/>
                <w:sz w:val="21"/>
                <w:szCs w:val="21"/>
              </w:rPr>
            </w:pPr>
            <w:r w:rsidDel="00000000" w:rsidR="00000000" w:rsidRPr="00000000">
              <w:rPr>
                <w:color w:val="424242"/>
                <w:sz w:val="21"/>
                <w:szCs w:val="21"/>
                <w:rtl w:val="0"/>
              </w:rPr>
              <w:t xml:space="preserve">New York Stock Exchange: http://www.nyse.com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1">
            <w:pPr>
              <w:spacing w:after="300" w:before="300" w:lineRule="auto"/>
              <w:rPr>
                <w:color w:val="424242"/>
                <w:sz w:val="21"/>
                <w:szCs w:val="21"/>
              </w:rPr>
            </w:pPr>
            <w:r w:rsidDel="00000000" w:rsidR="00000000" w:rsidRPr="00000000">
              <w:rPr>
                <w:color w:val="424242"/>
                <w:sz w:val="21"/>
                <w:szCs w:val="21"/>
                <w:rtl w:val="0"/>
              </w:rPr>
              <w:t xml:space="preserve">The oldest and largest U.S. stock market, dating back to 1792. It trades stocks for 2,800 companies of all sizes. It is located at 18 Broad St. in New York City.</w:t>
            </w:r>
          </w:p>
        </w:tc>
      </w:tr>
      <w:tr>
        <w:trPr>
          <w:trHeight w:val="8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2">
            <w:pPr>
              <w:spacing w:after="300" w:before="300" w:lineRule="auto"/>
              <w:rPr>
                <w:color w:val="424242"/>
                <w:sz w:val="21"/>
                <w:szCs w:val="21"/>
              </w:rPr>
            </w:pPr>
            <w:r w:rsidDel="00000000" w:rsidR="00000000" w:rsidRPr="00000000">
              <w:rPr>
                <w:color w:val="424242"/>
                <w:sz w:val="21"/>
                <w:szCs w:val="21"/>
                <w:rtl w:val="0"/>
              </w:rPr>
              <w:t xml:space="preserve">NASDAQ: http://www.nasdaq.com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3">
            <w:pPr>
              <w:spacing w:after="300" w:before="300" w:lineRule="auto"/>
              <w:rPr>
                <w:color w:val="424242"/>
                <w:sz w:val="21"/>
                <w:szCs w:val="21"/>
              </w:rPr>
            </w:pPr>
            <w:r w:rsidDel="00000000" w:rsidR="00000000" w:rsidRPr="00000000">
              <w:rPr>
                <w:color w:val="424242"/>
                <w:sz w:val="21"/>
                <w:szCs w:val="21"/>
                <w:rtl w:val="0"/>
              </w:rPr>
              <w:t xml:space="preserve">Founded in 1971 as an electronic stock market, allowing people to buy or sell from many physical locations. It has about 3,600 companies.</w:t>
            </w:r>
          </w:p>
        </w:tc>
      </w:tr>
      <w:tr>
        <w:trPr>
          <w:trHeight w:val="8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4">
            <w:pPr>
              <w:spacing w:after="300" w:before="300" w:lineRule="auto"/>
              <w:rPr>
                <w:color w:val="424242"/>
                <w:sz w:val="21"/>
                <w:szCs w:val="21"/>
              </w:rPr>
            </w:pPr>
            <w:r w:rsidDel="00000000" w:rsidR="00000000" w:rsidRPr="00000000">
              <w:rPr>
                <w:color w:val="424242"/>
                <w:sz w:val="21"/>
                <w:szCs w:val="21"/>
                <w:rtl w:val="0"/>
              </w:rPr>
              <w:t xml:space="preserve">FTSE: http://www.ftse.com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5">
            <w:pPr>
              <w:spacing w:after="300" w:before="300" w:lineRule="auto"/>
              <w:rPr>
                <w:color w:val="424242"/>
                <w:sz w:val="21"/>
                <w:szCs w:val="21"/>
              </w:rPr>
            </w:pPr>
            <w:r w:rsidDel="00000000" w:rsidR="00000000" w:rsidRPr="00000000">
              <w:rPr>
                <w:color w:val="424242"/>
                <w:sz w:val="21"/>
                <w:szCs w:val="21"/>
                <w:rtl w:val="0"/>
              </w:rPr>
              <w:t xml:space="preserve">Includes the 100 largest companies on the London Stock Exchange. Pronounced “footsie.” Originally stood for Financial Times Stock Exchange.</w:t>
            </w:r>
          </w:p>
        </w:tc>
      </w:tr>
      <w:tr>
        <w:trPr>
          <w:trHeight w:val="11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6">
            <w:pPr>
              <w:spacing w:after="300" w:before="300" w:lineRule="auto"/>
              <w:rPr>
                <w:color w:val="424242"/>
                <w:sz w:val="21"/>
                <w:szCs w:val="21"/>
              </w:rPr>
            </w:pPr>
            <w:r w:rsidDel="00000000" w:rsidR="00000000" w:rsidRPr="00000000">
              <w:rPr>
                <w:color w:val="424242"/>
                <w:sz w:val="21"/>
                <w:szCs w:val="21"/>
                <w:rtl w:val="0"/>
              </w:rPr>
              <w:t xml:space="preserve">Nikkei: http://www.nikkei.co.jp/nikkeiinfo/en/</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7">
            <w:pPr>
              <w:spacing w:after="300" w:before="300" w:lineRule="auto"/>
              <w:rPr>
                <w:color w:val="424242"/>
                <w:sz w:val="21"/>
                <w:szCs w:val="21"/>
              </w:rPr>
            </w:pPr>
            <w:r w:rsidDel="00000000" w:rsidR="00000000" w:rsidRPr="00000000">
              <w:rPr>
                <w:color w:val="424242"/>
                <w:sz w:val="21"/>
                <w:szCs w:val="21"/>
                <w:rtl w:val="0"/>
              </w:rPr>
              <w:t xml:space="preserve">Nikkei stands for </w:t>
            </w:r>
            <w:r w:rsidDel="00000000" w:rsidR="00000000" w:rsidRPr="00000000">
              <w:rPr>
                <w:i w:val="1"/>
                <w:color w:val="424242"/>
                <w:sz w:val="21"/>
                <w:szCs w:val="21"/>
                <w:rtl w:val="0"/>
              </w:rPr>
              <w:t xml:space="preserve">Nihon Keizai Shimbun</w:t>
            </w:r>
            <w:r w:rsidDel="00000000" w:rsidR="00000000" w:rsidRPr="00000000">
              <w:rPr>
                <w:color w:val="424242"/>
                <w:sz w:val="21"/>
                <w:szCs w:val="21"/>
                <w:rtl w:val="0"/>
              </w:rPr>
              <w:t xml:space="preserve">, which translates as the Japan Economic Journal, a major business newspaper in Japan. Index includes the 225 largest and most actively traded stocks on the Tokyo Stock Exchange.</w:t>
            </w:r>
          </w:p>
        </w:tc>
      </w:tr>
      <w:tr>
        <w:trPr>
          <w:trHeight w:val="8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8">
            <w:pPr>
              <w:spacing w:after="300" w:before="300" w:lineRule="auto"/>
              <w:rPr>
                <w:color w:val="424242"/>
                <w:sz w:val="21"/>
                <w:szCs w:val="21"/>
              </w:rPr>
            </w:pPr>
            <w:r w:rsidDel="00000000" w:rsidR="00000000" w:rsidRPr="00000000">
              <w:rPr>
                <w:color w:val="424242"/>
                <w:sz w:val="21"/>
                <w:szCs w:val="21"/>
                <w:rtl w:val="0"/>
              </w:rPr>
              <w:t xml:space="preserve">DAX: http://www.exchange.de</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39">
            <w:pPr>
              <w:spacing w:after="300" w:before="300" w:lineRule="auto"/>
              <w:rPr>
                <w:color w:val="424242"/>
                <w:sz w:val="21"/>
                <w:szCs w:val="21"/>
              </w:rPr>
            </w:pPr>
            <w:r w:rsidDel="00000000" w:rsidR="00000000" w:rsidRPr="00000000">
              <w:rPr>
                <w:color w:val="424242"/>
                <w:sz w:val="21"/>
                <w:szCs w:val="21"/>
                <w:rtl w:val="0"/>
              </w:rPr>
              <w:t xml:space="preserve">Tracks 30 of the largest companies on the Frankfurt, Germany, stock exchange. DAX is an abbreviation for </w:t>
            </w:r>
            <w:r w:rsidDel="00000000" w:rsidR="00000000" w:rsidRPr="00000000">
              <w:rPr>
                <w:i w:val="1"/>
                <w:color w:val="424242"/>
                <w:sz w:val="21"/>
                <w:szCs w:val="21"/>
                <w:rtl w:val="0"/>
              </w:rPr>
              <w:t xml:space="preserve">Deutscher Aktien Index</w:t>
            </w:r>
            <w:r w:rsidDel="00000000" w:rsidR="00000000" w:rsidRPr="00000000">
              <w:rPr>
                <w:color w:val="424242"/>
                <w:sz w:val="21"/>
                <w:szCs w:val="21"/>
                <w:rtl w:val="0"/>
              </w:rPr>
              <w:t xml:space="preserve"> (German Stock Index).</w:t>
            </w:r>
          </w:p>
        </w:tc>
      </w:tr>
    </w:tbl>
    <w:p w:rsidR="00000000" w:rsidDel="00000000" w:rsidP="00000000" w:rsidRDefault="00000000" w:rsidRPr="00000000" w14:paraId="0000003A">
      <w:pPr>
        <w:shd w:fill="ffffff" w:val="clear"/>
        <w:spacing w:after="300" w:before="300" w:lineRule="auto"/>
        <w:rPr>
          <w:color w:val="424242"/>
          <w:sz w:val="19"/>
          <w:szCs w:val="19"/>
        </w:rPr>
      </w:pPr>
      <w:r w:rsidDel="00000000" w:rsidR="00000000" w:rsidRPr="00000000">
        <w:rPr>
          <w:b w:val="1"/>
          <w:color w:val="424242"/>
          <w:sz w:val="19"/>
          <w:szCs w:val="19"/>
          <w:rtl w:val="0"/>
        </w:rPr>
        <w:t xml:space="preserve">Table17.1</w:t>
      </w:r>
      <w:r w:rsidDel="00000000" w:rsidR="00000000" w:rsidRPr="00000000">
        <w:rPr>
          <w:color w:val="424242"/>
          <w:sz w:val="19"/>
          <w:szCs w:val="19"/>
          <w:rtl w:val="0"/>
        </w:rPr>
        <w:t xml:space="preserve"> Some Stock Market Measures</w:t>
      </w:r>
    </w:p>
    <w:p w:rsidR="00000000" w:rsidDel="00000000" w:rsidP="00000000" w:rsidRDefault="00000000" w:rsidRPr="00000000" w14:paraId="0000003B">
      <w:pPr>
        <w:shd w:fill="ffffff" w:val="clear"/>
        <w:spacing w:after="300" w:before="300" w:lineRule="auto"/>
        <w:rPr>
          <w:color w:val="424242"/>
          <w:sz w:val="21"/>
          <w:szCs w:val="21"/>
        </w:rPr>
      </w:pPr>
      <w:r w:rsidDel="00000000" w:rsidR="00000000" w:rsidRPr="00000000">
        <w:rPr>
          <w:rtl w:val="0"/>
        </w:rPr>
      </w:r>
    </w:p>
    <w:p w:rsidR="00000000" w:rsidDel="00000000" w:rsidP="00000000" w:rsidRDefault="00000000" w:rsidRPr="00000000" w14:paraId="0000003C">
      <w:pPr>
        <w:shd w:fill="ffffff" w:val="clear"/>
        <w:spacing w:before="240" w:lineRule="auto"/>
        <w:rPr>
          <w:color w:val="424242"/>
          <w:sz w:val="21"/>
          <w:szCs w:val="21"/>
        </w:rPr>
      </w:pPr>
      <w:r w:rsidDel="00000000" w:rsidR="00000000" w:rsidRPr="00000000">
        <w:rPr>
          <w:color w:val="424242"/>
          <w:sz w:val="21"/>
          <w:szCs w:val="21"/>
          <w:rtl w:val="0"/>
        </w:rPr>
        <w:t xml:space="preserve">When the Dow Jones average rises from 5,000 to 10,000, you know that the average price of the stocks in that index has roughly doubled. </w:t>
      </w:r>
      <w:hyperlink r:id="rId13">
        <w:r w:rsidDel="00000000" w:rsidR="00000000" w:rsidRPr="00000000">
          <w:rPr>
            <w:color w:val="027eb5"/>
            <w:sz w:val="21"/>
            <w:szCs w:val="21"/>
            <w:u w:val="single"/>
            <w:rtl w:val="0"/>
          </w:rPr>
          <w:t xml:space="preserve">Figure 17.6</w:t>
        </w:r>
      </w:hyperlink>
      <w:r w:rsidDel="00000000" w:rsidR="00000000" w:rsidRPr="00000000">
        <w:rPr>
          <w:color w:val="424242"/>
          <w:sz w:val="21"/>
          <w:szCs w:val="21"/>
          <w:rtl w:val="0"/>
        </w:rPr>
        <w:t xml:space="preserve"> shows that stock prices did not rise much in the 1970s, but then started a steady climb in the 1980s. From 2000 to 2013, stock prices bounced up and down, but ended up at about the same level.</w:t>
      </w:r>
    </w:p>
    <w:p w:rsidR="00000000" w:rsidDel="00000000" w:rsidP="00000000" w:rsidRDefault="00000000" w:rsidRPr="00000000" w14:paraId="0000003D">
      <w:pPr>
        <w:shd w:fill="ffffff" w:val="clear"/>
        <w:jc w:val="center"/>
        <w:rPr>
          <w:color w:val="424242"/>
          <w:sz w:val="21"/>
          <w:szCs w:val="21"/>
        </w:rPr>
      </w:pPr>
      <w:r w:rsidDel="00000000" w:rsidR="00000000" w:rsidRPr="00000000">
        <w:rPr>
          <w:color w:val="424242"/>
          <w:sz w:val="21"/>
          <w:szCs w:val="21"/>
        </w:rPr>
        <w:drawing>
          <wp:inline distB="114300" distT="114300" distL="114300" distR="114300">
            <wp:extent cx="5943600" cy="4178300"/>
            <wp:effectExtent b="0" l="0" r="0" t="0"/>
            <wp:docPr descr="The graph shows that S&amp;P and DOW Jones remained relatively low until beginning to increase in the 1980s and then dramatically increasing in the mid- to late-1990s. From 2000 to 2013 prices bounced up and down but ended up at about the same level; subsequent years have seen general growth." id="3" name="image1.jpg"/>
            <a:graphic>
              <a:graphicData uri="http://schemas.openxmlformats.org/drawingml/2006/picture">
                <pic:pic>
                  <pic:nvPicPr>
                    <pic:cNvPr descr="The graph shows that S&amp;P and DOW Jones remained relatively low until beginning to increase in the 1980s and then dramatically increasing in the mid- to late-1990s. From 2000 to 2013 prices bounced up and down but ended up at about the same level; subsequent years have seen general growth." id="0" name="image1.jpg"/>
                    <pic:cNvPicPr preferRelativeResize="0"/>
                  </pic:nvPicPr>
                  <pic:blipFill>
                    <a:blip r:embed="rId14"/>
                    <a:srcRect b="0" l="0" r="0" t="0"/>
                    <a:stretch>
                      <a:fillRect/>
                    </a:stretch>
                  </pic:blipFill>
                  <pic:spPr>
                    <a:xfrm>
                      <a:off x="0" y="0"/>
                      <a:ext cx="5943600"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hd w:fill="ffffff" w:val="clear"/>
        <w:rPr>
          <w:color w:val="424242"/>
          <w:sz w:val="21"/>
          <w:szCs w:val="21"/>
        </w:rPr>
      </w:pPr>
      <w:r w:rsidDel="00000000" w:rsidR="00000000" w:rsidRPr="00000000">
        <w:rPr>
          <w:b w:val="1"/>
          <w:color w:val="424242"/>
          <w:sz w:val="21"/>
          <w:szCs w:val="21"/>
          <w:rtl w:val="0"/>
        </w:rPr>
        <w:t xml:space="preserve">Figure 17.6</w:t>
      </w:r>
      <w:r w:rsidDel="00000000" w:rsidR="00000000" w:rsidRPr="00000000">
        <w:rPr>
          <w:color w:val="424242"/>
          <w:sz w:val="21"/>
          <w:szCs w:val="21"/>
          <w:rtl w:val="0"/>
        </w:rPr>
        <w:t xml:space="preserve"> </w:t>
      </w:r>
      <w:r w:rsidDel="00000000" w:rsidR="00000000" w:rsidRPr="00000000">
        <w:rPr>
          <w:b w:val="1"/>
          <w:color w:val="424242"/>
          <w:sz w:val="21"/>
          <w:szCs w:val="21"/>
          <w:rtl w:val="0"/>
        </w:rPr>
        <w:t xml:space="preserve">The Dow Jones Industrial Index and the Standard &amp; Poor’s 500, 1965–2017</w:t>
      </w:r>
      <w:r w:rsidDel="00000000" w:rsidR="00000000" w:rsidRPr="00000000">
        <w:rPr>
          <w:color w:val="424242"/>
          <w:sz w:val="21"/>
          <w:szCs w:val="21"/>
          <w:rtl w:val="0"/>
        </w:rPr>
        <w:t xml:space="preserve"> Stock prices rose dramatically from the 1980s up to about 2000. From 2000 to 2013, stock prices bounced up and down, but ended up at about the same level.</w:t>
      </w:r>
    </w:p>
    <w:p w:rsidR="00000000" w:rsidDel="00000000" w:rsidP="00000000" w:rsidRDefault="00000000" w:rsidRPr="00000000" w14:paraId="0000003F">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40">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41">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42">
      <w:pPr>
        <w:shd w:fill="ffffff" w:val="clear"/>
        <w:spacing w:before="240" w:lineRule="auto"/>
        <w:rPr>
          <w:color w:val="424242"/>
          <w:sz w:val="21"/>
          <w:szCs w:val="21"/>
        </w:rPr>
      </w:pPr>
      <w:r w:rsidDel="00000000" w:rsidR="00000000" w:rsidRPr="00000000">
        <w:rPr>
          <w:rtl w:val="0"/>
        </w:rPr>
      </w:r>
    </w:p>
    <w:p w:rsidR="00000000" w:rsidDel="00000000" w:rsidP="00000000" w:rsidRDefault="00000000" w:rsidRPr="00000000" w14:paraId="00000043">
      <w:pPr>
        <w:shd w:fill="ffffff" w:val="clear"/>
        <w:spacing w:before="240" w:lineRule="auto"/>
        <w:rPr>
          <w:color w:val="424242"/>
          <w:sz w:val="21"/>
          <w:szCs w:val="21"/>
        </w:rPr>
      </w:pPr>
      <w:hyperlink r:id="rId15">
        <w:r w:rsidDel="00000000" w:rsidR="00000000" w:rsidRPr="00000000">
          <w:rPr>
            <w:color w:val="027eb5"/>
            <w:sz w:val="21"/>
            <w:szCs w:val="21"/>
            <w:u w:val="single"/>
            <w:rtl w:val="0"/>
          </w:rPr>
          <w:t xml:space="preserve">Table 17.2</w:t>
        </w:r>
      </w:hyperlink>
      <w:r w:rsidDel="00000000" w:rsidR="00000000" w:rsidRPr="00000000">
        <w:rPr>
          <w:color w:val="424242"/>
          <w:sz w:val="21"/>
          <w:szCs w:val="21"/>
          <w:rtl w:val="0"/>
        </w:rPr>
        <w:t xml:space="preserve"> shows the total annual rate of return an investor would have received from buying the stocks in the S&amp;P 500 index over recent decades. The total return here includes both dividends paid by these companies and also capital gains arising from increases in the stock value. (For technical reasons related to how we calculate the numbers, the dividends and capital gains do not add exactly to the total return.) From the 1950s to the 1980s, the average firm paid annual dividends equal to about 4% of its stock value. Since the 1990s, dividends have dropped and now often provide a return closer to 1% to 2%. In the 1960s and 1970s, the gap between percent earned on capital gains and dividends was much closer than it has been since the 1980s. In the 1980s and 1990s, capital gains were far higher than dividends. In the 2000s, dividends remained low and, while stock prices fluctuated, they ended the decade roughly where they had started.</w:t>
      </w:r>
    </w:p>
    <w:tbl>
      <w:tblPr>
        <w:tblStyle w:val="Table2"/>
        <w:tblW w:w="9360.000000000002" w:type="dxa"/>
        <w:jc w:val="left"/>
        <w:tblInd w:w="2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2.992700729927"/>
        <w:gridCol w:w="3222.4817518248174"/>
        <w:gridCol w:w="2334.306569343066"/>
        <w:gridCol w:w="1890.2189781021898"/>
        <w:tblGridChange w:id="0">
          <w:tblGrid>
            <w:gridCol w:w="1912.992700729927"/>
            <w:gridCol w:w="3222.4817518248174"/>
            <w:gridCol w:w="2334.306569343066"/>
            <w:gridCol w:w="1890.2189781021898"/>
          </w:tblGrid>
        </w:tblGridChange>
      </w:tblGrid>
      <w:tr>
        <w:trPr>
          <w:trHeight w:val="585" w:hRule="atLeast"/>
        </w:trPr>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44">
            <w:pPr>
              <w:spacing w:after="300" w:before="300" w:lineRule="auto"/>
              <w:jc w:val="center"/>
              <w:rPr>
                <w:color w:val="424242"/>
                <w:sz w:val="21"/>
                <w:szCs w:val="21"/>
              </w:rPr>
            </w:pPr>
            <w:r w:rsidDel="00000000" w:rsidR="00000000" w:rsidRPr="00000000">
              <w:rPr>
                <w:b w:val="1"/>
                <w:color w:val="424242"/>
                <w:sz w:val="21"/>
                <w:szCs w:val="21"/>
                <w:rtl w:val="0"/>
              </w:rPr>
              <w:t xml:space="preserve">Period</w:t>
            </w:r>
            <w:r w:rsidDel="00000000" w:rsidR="00000000" w:rsidRPr="00000000">
              <w:rPr>
                <w:rtl w:val="0"/>
              </w:rPr>
            </w:r>
          </w:p>
        </w:tc>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45">
            <w:pPr>
              <w:spacing w:after="300" w:before="300" w:lineRule="auto"/>
              <w:jc w:val="center"/>
              <w:rPr>
                <w:color w:val="424242"/>
                <w:sz w:val="21"/>
                <w:szCs w:val="21"/>
              </w:rPr>
            </w:pPr>
            <w:r w:rsidDel="00000000" w:rsidR="00000000" w:rsidRPr="00000000">
              <w:rPr>
                <w:b w:val="1"/>
                <w:color w:val="424242"/>
                <w:sz w:val="21"/>
                <w:szCs w:val="21"/>
                <w:rtl w:val="0"/>
              </w:rPr>
              <w:t xml:space="preserve">Total Annual Return</w:t>
            </w:r>
            <w:r w:rsidDel="00000000" w:rsidR="00000000" w:rsidRPr="00000000">
              <w:rPr>
                <w:rtl w:val="0"/>
              </w:rPr>
            </w:r>
          </w:p>
        </w:tc>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46">
            <w:pPr>
              <w:spacing w:after="300" w:before="300" w:lineRule="auto"/>
              <w:jc w:val="center"/>
              <w:rPr>
                <w:color w:val="424242"/>
                <w:sz w:val="21"/>
                <w:szCs w:val="21"/>
              </w:rPr>
            </w:pPr>
            <w:r w:rsidDel="00000000" w:rsidR="00000000" w:rsidRPr="00000000">
              <w:rPr>
                <w:b w:val="1"/>
                <w:color w:val="424242"/>
                <w:sz w:val="21"/>
                <w:szCs w:val="21"/>
                <w:rtl w:val="0"/>
              </w:rPr>
              <w:t xml:space="preserve">Capital Gains</w:t>
            </w:r>
            <w:r w:rsidDel="00000000" w:rsidR="00000000" w:rsidRPr="00000000">
              <w:rPr>
                <w:rtl w:val="0"/>
              </w:rPr>
            </w:r>
          </w:p>
        </w:tc>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47">
            <w:pPr>
              <w:spacing w:after="300" w:before="300" w:lineRule="auto"/>
              <w:jc w:val="center"/>
              <w:rPr>
                <w:color w:val="424242"/>
                <w:sz w:val="21"/>
                <w:szCs w:val="21"/>
              </w:rPr>
            </w:pPr>
            <w:r w:rsidDel="00000000" w:rsidR="00000000" w:rsidRPr="00000000">
              <w:rPr>
                <w:b w:val="1"/>
                <w:color w:val="424242"/>
                <w:sz w:val="21"/>
                <w:szCs w:val="21"/>
                <w:rtl w:val="0"/>
              </w:rPr>
              <w:t xml:space="preserve">Dividends</w:t>
            </w:r>
            <w:r w:rsidDel="00000000" w:rsidR="00000000" w:rsidRPr="00000000">
              <w:rPr>
                <w:rtl w:val="0"/>
              </w:rPr>
            </w:r>
          </w:p>
        </w:tc>
      </w:tr>
      <w:tr>
        <w:trPr>
          <w:trHeight w:val="570"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48">
            <w:pPr>
              <w:spacing w:after="300" w:before="300" w:lineRule="auto"/>
              <w:rPr>
                <w:color w:val="424242"/>
                <w:sz w:val="21"/>
                <w:szCs w:val="21"/>
              </w:rPr>
            </w:pPr>
            <w:r w:rsidDel="00000000" w:rsidR="00000000" w:rsidRPr="00000000">
              <w:rPr>
                <w:color w:val="424242"/>
                <w:sz w:val="21"/>
                <w:szCs w:val="21"/>
                <w:rtl w:val="0"/>
              </w:rPr>
              <w:t xml:space="preserve">1950–1959</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49">
            <w:pPr>
              <w:spacing w:after="300" w:before="300" w:lineRule="auto"/>
              <w:rPr>
                <w:color w:val="424242"/>
                <w:sz w:val="21"/>
                <w:szCs w:val="21"/>
              </w:rPr>
            </w:pPr>
            <w:r w:rsidDel="00000000" w:rsidR="00000000" w:rsidRPr="00000000">
              <w:rPr>
                <w:color w:val="424242"/>
                <w:sz w:val="21"/>
                <w:szCs w:val="21"/>
                <w:rtl w:val="0"/>
              </w:rPr>
              <w:t xml:space="preserve">19.25%</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4A">
            <w:pPr>
              <w:spacing w:after="300" w:before="300" w:lineRule="auto"/>
              <w:rPr>
                <w:color w:val="424242"/>
                <w:sz w:val="21"/>
                <w:szCs w:val="21"/>
              </w:rPr>
            </w:pPr>
            <w:r w:rsidDel="00000000" w:rsidR="00000000" w:rsidRPr="00000000">
              <w:rPr>
                <w:color w:val="424242"/>
                <w:sz w:val="21"/>
                <w:szCs w:val="21"/>
                <w:rtl w:val="0"/>
              </w:rPr>
              <w:t xml:space="preserve">13.58%</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4B">
            <w:pPr>
              <w:spacing w:after="300" w:before="300" w:lineRule="auto"/>
              <w:rPr>
                <w:color w:val="424242"/>
                <w:sz w:val="21"/>
                <w:szCs w:val="21"/>
              </w:rPr>
            </w:pPr>
            <w:r w:rsidDel="00000000" w:rsidR="00000000" w:rsidRPr="00000000">
              <w:rPr>
                <w:color w:val="424242"/>
                <w:sz w:val="21"/>
                <w:szCs w:val="21"/>
                <w:rtl w:val="0"/>
              </w:rPr>
              <w:t xml:space="preserve">4.99%</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4C">
            <w:pPr>
              <w:spacing w:after="300" w:before="300" w:lineRule="auto"/>
              <w:rPr>
                <w:color w:val="424242"/>
                <w:sz w:val="21"/>
                <w:szCs w:val="21"/>
              </w:rPr>
            </w:pPr>
            <w:r w:rsidDel="00000000" w:rsidR="00000000" w:rsidRPr="00000000">
              <w:rPr>
                <w:color w:val="424242"/>
                <w:sz w:val="21"/>
                <w:szCs w:val="21"/>
                <w:rtl w:val="0"/>
              </w:rPr>
              <w:t xml:space="preserve">1960–1969</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4D">
            <w:pPr>
              <w:spacing w:after="300" w:before="300" w:lineRule="auto"/>
              <w:rPr>
                <w:color w:val="424242"/>
                <w:sz w:val="21"/>
                <w:szCs w:val="21"/>
              </w:rPr>
            </w:pPr>
            <w:r w:rsidDel="00000000" w:rsidR="00000000" w:rsidRPr="00000000">
              <w:rPr>
                <w:color w:val="424242"/>
                <w:sz w:val="21"/>
                <w:szCs w:val="21"/>
                <w:rtl w:val="0"/>
              </w:rPr>
              <w:t xml:space="preserve">7.78%</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4E">
            <w:pPr>
              <w:spacing w:after="300" w:before="300" w:lineRule="auto"/>
              <w:rPr>
                <w:color w:val="424242"/>
                <w:sz w:val="21"/>
                <w:szCs w:val="21"/>
              </w:rPr>
            </w:pPr>
            <w:r w:rsidDel="00000000" w:rsidR="00000000" w:rsidRPr="00000000">
              <w:rPr>
                <w:color w:val="424242"/>
                <w:sz w:val="21"/>
                <w:szCs w:val="21"/>
                <w:rtl w:val="0"/>
              </w:rPr>
              <w:t xml:space="preserve">4.39%</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4F">
            <w:pPr>
              <w:spacing w:after="300" w:before="300" w:lineRule="auto"/>
              <w:rPr>
                <w:color w:val="424242"/>
                <w:sz w:val="21"/>
                <w:szCs w:val="21"/>
              </w:rPr>
            </w:pPr>
            <w:r w:rsidDel="00000000" w:rsidR="00000000" w:rsidRPr="00000000">
              <w:rPr>
                <w:color w:val="424242"/>
                <w:sz w:val="21"/>
                <w:szCs w:val="21"/>
                <w:rtl w:val="0"/>
              </w:rPr>
              <w:t xml:space="preserve">3.25%</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0">
            <w:pPr>
              <w:spacing w:after="300" w:before="300" w:lineRule="auto"/>
              <w:rPr>
                <w:color w:val="424242"/>
                <w:sz w:val="21"/>
                <w:szCs w:val="21"/>
              </w:rPr>
            </w:pPr>
            <w:r w:rsidDel="00000000" w:rsidR="00000000" w:rsidRPr="00000000">
              <w:rPr>
                <w:color w:val="424242"/>
                <w:sz w:val="21"/>
                <w:szCs w:val="21"/>
                <w:rtl w:val="0"/>
              </w:rPr>
              <w:t xml:space="preserve">1970–1979</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1">
            <w:pPr>
              <w:spacing w:after="300" w:before="300" w:lineRule="auto"/>
              <w:rPr>
                <w:color w:val="424242"/>
                <w:sz w:val="21"/>
                <w:szCs w:val="21"/>
              </w:rPr>
            </w:pPr>
            <w:r w:rsidDel="00000000" w:rsidR="00000000" w:rsidRPr="00000000">
              <w:rPr>
                <w:color w:val="424242"/>
                <w:sz w:val="21"/>
                <w:szCs w:val="21"/>
                <w:rtl w:val="0"/>
              </w:rPr>
              <w:t xml:space="preserve">5.88%</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2">
            <w:pPr>
              <w:spacing w:after="300" w:before="300" w:lineRule="auto"/>
              <w:rPr>
                <w:color w:val="424242"/>
                <w:sz w:val="21"/>
                <w:szCs w:val="21"/>
              </w:rPr>
            </w:pPr>
            <w:r w:rsidDel="00000000" w:rsidR="00000000" w:rsidRPr="00000000">
              <w:rPr>
                <w:color w:val="424242"/>
                <w:sz w:val="21"/>
                <w:szCs w:val="21"/>
                <w:rtl w:val="0"/>
              </w:rPr>
              <w:t xml:space="preserve">1.60%</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3">
            <w:pPr>
              <w:spacing w:after="300" w:before="300" w:lineRule="auto"/>
              <w:rPr>
                <w:color w:val="424242"/>
                <w:sz w:val="21"/>
                <w:szCs w:val="21"/>
              </w:rPr>
            </w:pPr>
            <w:r w:rsidDel="00000000" w:rsidR="00000000" w:rsidRPr="00000000">
              <w:rPr>
                <w:color w:val="424242"/>
                <w:sz w:val="21"/>
                <w:szCs w:val="21"/>
                <w:rtl w:val="0"/>
              </w:rPr>
              <w:t xml:space="preserve">4.20%</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4">
            <w:pPr>
              <w:spacing w:after="300" w:before="300" w:lineRule="auto"/>
              <w:rPr>
                <w:color w:val="424242"/>
                <w:sz w:val="21"/>
                <w:szCs w:val="21"/>
              </w:rPr>
            </w:pPr>
            <w:r w:rsidDel="00000000" w:rsidR="00000000" w:rsidRPr="00000000">
              <w:rPr>
                <w:color w:val="424242"/>
                <w:sz w:val="21"/>
                <w:szCs w:val="21"/>
                <w:rtl w:val="0"/>
              </w:rPr>
              <w:t xml:space="preserve">1980–1989</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5">
            <w:pPr>
              <w:spacing w:after="300" w:before="300" w:lineRule="auto"/>
              <w:rPr>
                <w:color w:val="424242"/>
                <w:sz w:val="21"/>
                <w:szCs w:val="21"/>
              </w:rPr>
            </w:pPr>
            <w:r w:rsidDel="00000000" w:rsidR="00000000" w:rsidRPr="00000000">
              <w:rPr>
                <w:color w:val="424242"/>
                <w:sz w:val="21"/>
                <w:szCs w:val="21"/>
                <w:rtl w:val="0"/>
              </w:rPr>
              <w:t xml:space="preserve">17.55%</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6">
            <w:pPr>
              <w:spacing w:after="300" w:before="300" w:lineRule="auto"/>
              <w:rPr>
                <w:color w:val="424242"/>
                <w:sz w:val="21"/>
                <w:szCs w:val="21"/>
              </w:rPr>
            </w:pPr>
            <w:r w:rsidDel="00000000" w:rsidR="00000000" w:rsidRPr="00000000">
              <w:rPr>
                <w:color w:val="424242"/>
                <w:sz w:val="21"/>
                <w:szCs w:val="21"/>
                <w:rtl w:val="0"/>
              </w:rPr>
              <w:t xml:space="preserve">12.59%</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7">
            <w:pPr>
              <w:spacing w:after="300" w:before="300" w:lineRule="auto"/>
              <w:rPr>
                <w:color w:val="424242"/>
                <w:sz w:val="21"/>
                <w:szCs w:val="21"/>
              </w:rPr>
            </w:pPr>
            <w:r w:rsidDel="00000000" w:rsidR="00000000" w:rsidRPr="00000000">
              <w:rPr>
                <w:color w:val="424242"/>
                <w:sz w:val="21"/>
                <w:szCs w:val="21"/>
                <w:rtl w:val="0"/>
              </w:rPr>
              <w:t xml:space="preserve">4.40%</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8">
            <w:pPr>
              <w:spacing w:after="300" w:before="300" w:lineRule="auto"/>
              <w:rPr>
                <w:color w:val="424242"/>
                <w:sz w:val="21"/>
                <w:szCs w:val="21"/>
              </w:rPr>
            </w:pPr>
            <w:r w:rsidDel="00000000" w:rsidR="00000000" w:rsidRPr="00000000">
              <w:rPr>
                <w:color w:val="424242"/>
                <w:sz w:val="21"/>
                <w:szCs w:val="21"/>
                <w:rtl w:val="0"/>
              </w:rPr>
              <w:t xml:space="preserve">1990–1999</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9">
            <w:pPr>
              <w:spacing w:after="300" w:before="300" w:lineRule="auto"/>
              <w:rPr>
                <w:color w:val="424242"/>
                <w:sz w:val="21"/>
                <w:szCs w:val="21"/>
              </w:rPr>
            </w:pPr>
            <w:r w:rsidDel="00000000" w:rsidR="00000000" w:rsidRPr="00000000">
              <w:rPr>
                <w:color w:val="424242"/>
                <w:sz w:val="21"/>
                <w:szCs w:val="21"/>
                <w:rtl w:val="0"/>
              </w:rPr>
              <w:t xml:space="preserve">18.21%</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A">
            <w:pPr>
              <w:spacing w:after="300" w:before="300" w:lineRule="auto"/>
              <w:rPr>
                <w:color w:val="424242"/>
                <w:sz w:val="21"/>
                <w:szCs w:val="21"/>
              </w:rPr>
            </w:pPr>
            <w:r w:rsidDel="00000000" w:rsidR="00000000" w:rsidRPr="00000000">
              <w:rPr>
                <w:color w:val="424242"/>
                <w:sz w:val="21"/>
                <w:szCs w:val="21"/>
                <w:rtl w:val="0"/>
              </w:rPr>
              <w:t xml:space="preserve">15.31%</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B">
            <w:pPr>
              <w:spacing w:after="300" w:before="300" w:lineRule="auto"/>
              <w:rPr>
                <w:color w:val="424242"/>
                <w:sz w:val="21"/>
                <w:szCs w:val="21"/>
              </w:rPr>
            </w:pPr>
            <w:r w:rsidDel="00000000" w:rsidR="00000000" w:rsidRPr="00000000">
              <w:rPr>
                <w:color w:val="424242"/>
                <w:sz w:val="21"/>
                <w:szCs w:val="21"/>
                <w:rtl w:val="0"/>
              </w:rPr>
              <w:t xml:space="preserve">2.51%</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C">
            <w:pPr>
              <w:spacing w:after="300" w:before="300" w:lineRule="auto"/>
              <w:rPr>
                <w:color w:val="424242"/>
                <w:sz w:val="21"/>
                <w:szCs w:val="21"/>
              </w:rPr>
            </w:pPr>
            <w:r w:rsidDel="00000000" w:rsidR="00000000" w:rsidRPr="00000000">
              <w:rPr>
                <w:color w:val="424242"/>
                <w:sz w:val="21"/>
                <w:szCs w:val="21"/>
                <w:rtl w:val="0"/>
              </w:rPr>
              <w:t xml:space="preserve">2000–2009</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D">
            <w:pPr>
              <w:spacing w:after="300" w:before="300" w:lineRule="auto"/>
              <w:rPr>
                <w:color w:val="424242"/>
                <w:sz w:val="21"/>
                <w:szCs w:val="21"/>
              </w:rPr>
            </w:pPr>
            <w:r w:rsidDel="00000000" w:rsidR="00000000" w:rsidRPr="00000000">
              <w:rPr>
                <w:rFonts w:ascii="Arial Unicode MS" w:cs="Arial Unicode MS" w:eastAsia="Arial Unicode MS" w:hAnsi="Arial Unicode MS"/>
                <w:color w:val="424242"/>
                <w:sz w:val="21"/>
                <w:szCs w:val="21"/>
                <w:rtl w:val="0"/>
              </w:rPr>
              <w:t xml:space="preserve">−1.00%</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E">
            <w:pPr>
              <w:spacing w:after="300" w:before="300" w:lineRule="auto"/>
              <w:rPr>
                <w:color w:val="424242"/>
                <w:sz w:val="21"/>
                <w:szCs w:val="21"/>
              </w:rPr>
            </w:pPr>
            <w:r w:rsidDel="00000000" w:rsidR="00000000" w:rsidRPr="00000000">
              <w:rPr>
                <w:rFonts w:ascii="Arial Unicode MS" w:cs="Arial Unicode MS" w:eastAsia="Arial Unicode MS" w:hAnsi="Arial Unicode MS"/>
                <w:color w:val="424242"/>
                <w:sz w:val="21"/>
                <w:szCs w:val="21"/>
                <w:rtl w:val="0"/>
              </w:rPr>
              <w:t xml:space="preserve">−2.70%</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5F">
            <w:pPr>
              <w:spacing w:after="300" w:before="300" w:lineRule="auto"/>
              <w:rPr>
                <w:color w:val="424242"/>
                <w:sz w:val="21"/>
                <w:szCs w:val="21"/>
              </w:rPr>
            </w:pPr>
            <w:r w:rsidDel="00000000" w:rsidR="00000000" w:rsidRPr="00000000">
              <w:rPr>
                <w:color w:val="424242"/>
                <w:sz w:val="21"/>
                <w:szCs w:val="21"/>
                <w:rtl w:val="0"/>
              </w:rPr>
              <w:t xml:space="preserve">1.70%</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0">
            <w:pPr>
              <w:spacing w:after="300" w:before="300" w:lineRule="auto"/>
              <w:rPr>
                <w:color w:val="424242"/>
                <w:sz w:val="21"/>
                <w:szCs w:val="21"/>
              </w:rPr>
            </w:pPr>
            <w:r w:rsidDel="00000000" w:rsidR="00000000" w:rsidRPr="00000000">
              <w:rPr>
                <w:color w:val="424242"/>
                <w:sz w:val="21"/>
                <w:szCs w:val="21"/>
                <w:rtl w:val="0"/>
              </w:rPr>
              <w:t xml:space="preserve">2010</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1">
            <w:pPr>
              <w:spacing w:after="300" w:before="300" w:lineRule="auto"/>
              <w:rPr>
                <w:color w:val="424242"/>
                <w:sz w:val="21"/>
                <w:szCs w:val="21"/>
              </w:rPr>
            </w:pPr>
            <w:r w:rsidDel="00000000" w:rsidR="00000000" w:rsidRPr="00000000">
              <w:rPr>
                <w:color w:val="424242"/>
                <w:sz w:val="21"/>
                <w:szCs w:val="21"/>
                <w:rtl w:val="0"/>
              </w:rPr>
              <w:t xml:space="preserve">15.06%</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2">
            <w:pPr>
              <w:spacing w:after="300" w:before="300" w:lineRule="auto"/>
              <w:rPr>
                <w:color w:val="424242"/>
                <w:sz w:val="21"/>
                <w:szCs w:val="21"/>
              </w:rPr>
            </w:pPr>
            <w:r w:rsidDel="00000000" w:rsidR="00000000" w:rsidRPr="00000000">
              <w:rPr>
                <w:color w:val="424242"/>
                <w:sz w:val="21"/>
                <w:szCs w:val="21"/>
                <w:rtl w:val="0"/>
              </w:rPr>
              <w:t xml:space="preserve">13.22%</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3">
            <w:pPr>
              <w:spacing w:after="300" w:before="300" w:lineRule="auto"/>
              <w:rPr>
                <w:color w:val="424242"/>
                <w:sz w:val="21"/>
                <w:szCs w:val="21"/>
              </w:rPr>
            </w:pPr>
            <w:r w:rsidDel="00000000" w:rsidR="00000000" w:rsidRPr="00000000">
              <w:rPr>
                <w:color w:val="424242"/>
                <w:sz w:val="21"/>
                <w:szCs w:val="21"/>
                <w:rtl w:val="0"/>
              </w:rPr>
              <w:t xml:space="preserve">1.84%</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4">
            <w:pPr>
              <w:spacing w:after="300" w:before="300" w:lineRule="auto"/>
              <w:rPr>
                <w:color w:val="424242"/>
                <w:sz w:val="21"/>
                <w:szCs w:val="21"/>
              </w:rPr>
            </w:pPr>
            <w:r w:rsidDel="00000000" w:rsidR="00000000" w:rsidRPr="00000000">
              <w:rPr>
                <w:color w:val="424242"/>
                <w:sz w:val="21"/>
                <w:szCs w:val="21"/>
                <w:rtl w:val="0"/>
              </w:rPr>
              <w:t xml:space="preserve">2011</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5">
            <w:pPr>
              <w:spacing w:after="300" w:before="300" w:lineRule="auto"/>
              <w:rPr>
                <w:color w:val="424242"/>
                <w:sz w:val="21"/>
                <w:szCs w:val="21"/>
              </w:rPr>
            </w:pPr>
            <w:r w:rsidDel="00000000" w:rsidR="00000000" w:rsidRPr="00000000">
              <w:rPr>
                <w:color w:val="424242"/>
                <w:sz w:val="21"/>
                <w:szCs w:val="21"/>
                <w:rtl w:val="0"/>
              </w:rPr>
              <w:t xml:space="preserve">2.11%</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6">
            <w:pPr>
              <w:spacing w:after="300" w:before="300" w:lineRule="auto"/>
              <w:rPr>
                <w:color w:val="424242"/>
                <w:sz w:val="21"/>
                <w:szCs w:val="21"/>
              </w:rPr>
            </w:pPr>
            <w:r w:rsidDel="00000000" w:rsidR="00000000" w:rsidRPr="00000000">
              <w:rPr>
                <w:color w:val="424242"/>
                <w:sz w:val="21"/>
                <w:szCs w:val="21"/>
                <w:rtl w:val="0"/>
              </w:rPr>
              <w:t xml:space="preserve">0.04%</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7">
            <w:pPr>
              <w:spacing w:after="300" w:before="300" w:lineRule="auto"/>
              <w:rPr>
                <w:color w:val="424242"/>
                <w:sz w:val="21"/>
                <w:szCs w:val="21"/>
              </w:rPr>
            </w:pPr>
            <w:r w:rsidDel="00000000" w:rsidR="00000000" w:rsidRPr="00000000">
              <w:rPr>
                <w:color w:val="424242"/>
                <w:sz w:val="21"/>
                <w:szCs w:val="21"/>
                <w:rtl w:val="0"/>
              </w:rPr>
              <w:t xml:space="preserve">2.07%</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8">
            <w:pPr>
              <w:spacing w:after="300" w:before="300" w:lineRule="auto"/>
              <w:rPr>
                <w:color w:val="424242"/>
                <w:sz w:val="21"/>
                <w:szCs w:val="21"/>
              </w:rPr>
            </w:pPr>
            <w:r w:rsidDel="00000000" w:rsidR="00000000" w:rsidRPr="00000000">
              <w:rPr>
                <w:color w:val="424242"/>
                <w:sz w:val="21"/>
                <w:szCs w:val="21"/>
                <w:rtl w:val="0"/>
              </w:rPr>
              <w:t xml:space="preserve">2012</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9">
            <w:pPr>
              <w:spacing w:after="300" w:before="300" w:lineRule="auto"/>
              <w:rPr>
                <w:color w:val="424242"/>
                <w:sz w:val="21"/>
                <w:szCs w:val="21"/>
              </w:rPr>
            </w:pPr>
            <w:r w:rsidDel="00000000" w:rsidR="00000000" w:rsidRPr="00000000">
              <w:rPr>
                <w:color w:val="424242"/>
                <w:sz w:val="21"/>
                <w:szCs w:val="21"/>
                <w:rtl w:val="0"/>
              </w:rPr>
              <w:t xml:space="preserve">16.00%</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A">
            <w:pPr>
              <w:spacing w:after="300" w:before="300" w:lineRule="auto"/>
              <w:rPr>
                <w:color w:val="424242"/>
                <w:sz w:val="21"/>
                <w:szCs w:val="21"/>
              </w:rPr>
            </w:pPr>
            <w:r w:rsidDel="00000000" w:rsidR="00000000" w:rsidRPr="00000000">
              <w:rPr>
                <w:color w:val="424242"/>
                <w:sz w:val="21"/>
                <w:szCs w:val="21"/>
                <w:rtl w:val="0"/>
              </w:rPr>
              <w:t xml:space="preserve">13.87%</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6B">
            <w:pPr>
              <w:spacing w:after="300" w:before="300" w:lineRule="auto"/>
              <w:rPr>
                <w:color w:val="424242"/>
                <w:sz w:val="21"/>
                <w:szCs w:val="21"/>
              </w:rPr>
            </w:pPr>
            <w:r w:rsidDel="00000000" w:rsidR="00000000" w:rsidRPr="00000000">
              <w:rPr>
                <w:color w:val="424242"/>
                <w:sz w:val="21"/>
                <w:szCs w:val="21"/>
                <w:rtl w:val="0"/>
              </w:rPr>
              <w:t xml:space="preserve">2.13%</w:t>
            </w:r>
          </w:p>
        </w:tc>
      </w:tr>
    </w:tbl>
    <w:p w:rsidR="00000000" w:rsidDel="00000000" w:rsidP="00000000" w:rsidRDefault="00000000" w:rsidRPr="00000000" w14:paraId="0000006C">
      <w:pPr>
        <w:shd w:fill="ffffff" w:val="clear"/>
        <w:spacing w:after="300" w:before="300" w:lineRule="auto"/>
        <w:rPr>
          <w:color w:val="424242"/>
          <w:sz w:val="19"/>
          <w:szCs w:val="19"/>
        </w:rPr>
      </w:pPr>
      <w:r w:rsidDel="00000000" w:rsidR="00000000" w:rsidRPr="00000000">
        <w:rPr>
          <w:b w:val="1"/>
          <w:color w:val="424242"/>
          <w:sz w:val="19"/>
          <w:szCs w:val="19"/>
          <w:rtl w:val="0"/>
        </w:rPr>
        <w:t xml:space="preserve">Table17.2</w:t>
      </w:r>
      <w:r w:rsidDel="00000000" w:rsidR="00000000" w:rsidRPr="00000000">
        <w:rPr>
          <w:color w:val="424242"/>
          <w:sz w:val="19"/>
          <w:szCs w:val="19"/>
          <w:rtl w:val="0"/>
        </w:rPr>
        <w:t xml:space="preserve"> Annual Returns on S&amp;P 500 Stocks, 1950–2012</w:t>
      </w:r>
    </w:p>
    <w:p w:rsidR="00000000" w:rsidDel="00000000" w:rsidP="00000000" w:rsidRDefault="00000000" w:rsidRPr="00000000" w14:paraId="0000006D">
      <w:pPr>
        <w:shd w:fill="ffffff" w:val="clear"/>
        <w:spacing w:before="240" w:lineRule="auto"/>
        <w:rPr>
          <w:color w:val="424242"/>
          <w:sz w:val="21"/>
          <w:szCs w:val="21"/>
        </w:rPr>
      </w:pPr>
      <w:r w:rsidDel="00000000" w:rsidR="00000000" w:rsidRPr="00000000">
        <w:rPr>
          <w:color w:val="424242"/>
          <w:sz w:val="21"/>
          <w:szCs w:val="21"/>
          <w:rtl w:val="0"/>
        </w:rPr>
        <w:t xml:space="preserve">The overall pattern is that stocks as a group have provided a high rate of return over extended periods of time, but this return comes with risks. The market value of individual companies can rise and fall substantially, both over short time periods and over the long run. During extended periods of time like the 1970s or the first decade of the 2000s, the overall stock market return can be quite modest. The stock market can sometimes fall sharply, as it did in 2008.</w:t>
      </w:r>
    </w:p>
    <w:p w:rsidR="00000000" w:rsidDel="00000000" w:rsidP="00000000" w:rsidRDefault="00000000" w:rsidRPr="00000000" w14:paraId="0000006E">
      <w:pPr>
        <w:shd w:fill="ffffff" w:val="clear"/>
        <w:spacing w:before="240" w:lineRule="auto"/>
        <w:rPr>
          <w:color w:val="424242"/>
          <w:sz w:val="21"/>
          <w:szCs w:val="21"/>
        </w:rPr>
      </w:pPr>
      <w:r w:rsidDel="00000000" w:rsidR="00000000" w:rsidRPr="00000000">
        <w:rPr>
          <w:color w:val="424242"/>
          <w:sz w:val="21"/>
          <w:szCs w:val="21"/>
          <w:rtl w:val="0"/>
        </w:rPr>
        <w:t xml:space="preserve">The bottom line on investing in stocks is that the rate of return over time will be high, but the risks are also high, especially in the short run. Liquidity is also high since one can sell stock in publicly held companies readily for spendable money.</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jc w:val="center"/>
        <w:rPr/>
      </w:pPr>
      <w:r w:rsidDel="00000000" w:rsidR="00000000" w:rsidRPr="00000000">
        <w:rPr/>
        <w:drawing>
          <wp:inline distB="114300" distT="114300" distL="114300" distR="114300">
            <wp:extent cx="5124450" cy="3171825"/>
            <wp:effectExtent b="0" l="0" r="0" t="0"/>
            <wp:docPr descr="Graph shows that sales prices rose as high as $248,000 in 2007, before falling in 2008. It then rose to $294,000 in 2015." id="5" name="image4.jpg"/>
            <a:graphic>
              <a:graphicData uri="http://schemas.openxmlformats.org/drawingml/2006/picture">
                <pic:pic>
                  <pic:nvPicPr>
                    <pic:cNvPr descr="Graph shows that sales prices rose as high as $248,000 in 2007, before falling in 2008. It then rose to $294,000 in 2015." id="0" name="image4.jpg"/>
                    <pic:cNvPicPr preferRelativeResize="0"/>
                  </pic:nvPicPr>
                  <pic:blipFill>
                    <a:blip r:embed="rId16"/>
                    <a:srcRect b="0" l="0" r="0" t="0"/>
                    <a:stretch>
                      <a:fillRect/>
                    </a:stretch>
                  </pic:blipFill>
                  <pic:spPr>
                    <a:xfrm>
                      <a:off x="0" y="0"/>
                      <a:ext cx="5124450" cy="3171825"/>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shd w:fill="ffffff" w:val="clear"/>
        <w:rPr>
          <w:color w:val="424242"/>
        </w:rPr>
      </w:pPr>
      <w:r w:rsidDel="00000000" w:rsidR="00000000" w:rsidRPr="00000000">
        <w:rPr>
          <w:b w:val="1"/>
          <w:color w:val="424242"/>
          <w:rtl w:val="0"/>
        </w:rPr>
        <w:t xml:space="preserve">Figure 17.7</w:t>
      </w:r>
      <w:r w:rsidDel="00000000" w:rsidR="00000000" w:rsidRPr="00000000">
        <w:rPr>
          <w:color w:val="424242"/>
          <w:rtl w:val="0"/>
        </w:rPr>
        <w:t xml:space="preserve"> </w:t>
      </w:r>
      <w:r w:rsidDel="00000000" w:rsidR="00000000" w:rsidRPr="00000000">
        <w:rPr>
          <w:b w:val="1"/>
          <w:color w:val="424242"/>
          <w:rtl w:val="0"/>
        </w:rPr>
        <w:t xml:space="preserve">The Median Average Sales Price for New Single-Family Homes, 1990–2015</w:t>
      </w:r>
      <w:r w:rsidDel="00000000" w:rsidR="00000000" w:rsidRPr="00000000">
        <w:rPr>
          <w:color w:val="424242"/>
          <w:rtl w:val="0"/>
        </w:rPr>
        <w:t xml:space="preserve"> The median price is the price where half of sales prices are higher and half are lower. The median sales price for a new one-family home was $122,900 in 1990. It rose as high as $248,000 in 2007, before falling to $232,000 in 2008. In 2015, the median sales price was $294,000. Of course, this national figure conceals many local differences, like the areas where housing prices are higher or lower, or how housing prices have risen or fallen at certain times. (Source: U.S. Census)</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pStyle w:val="Heading3"/>
        <w:keepNext w:val="0"/>
        <w:keepLines w:val="0"/>
        <w:shd w:fill="ffffff" w:val="clear"/>
        <w:spacing w:before="280" w:lineRule="auto"/>
        <w:rPr>
          <w:b w:val="1"/>
          <w:color w:val="333333"/>
          <w:sz w:val="26"/>
          <w:szCs w:val="26"/>
        </w:rPr>
      </w:pPr>
      <w:bookmarkStart w:colFirst="0" w:colLast="0" w:name="_6enbfhdh52nl" w:id="0"/>
      <w:bookmarkEnd w:id="0"/>
      <w:r w:rsidDel="00000000" w:rsidR="00000000" w:rsidRPr="00000000">
        <w:rPr>
          <w:rtl w:val="0"/>
        </w:rPr>
      </w:r>
    </w:p>
    <w:p w:rsidR="00000000" w:rsidDel="00000000" w:rsidP="00000000" w:rsidRDefault="00000000" w:rsidRPr="00000000" w14:paraId="00000075">
      <w:pPr>
        <w:pStyle w:val="Heading3"/>
        <w:keepNext w:val="0"/>
        <w:keepLines w:val="0"/>
        <w:shd w:fill="ffffff" w:val="clear"/>
        <w:spacing w:before="280" w:lineRule="auto"/>
        <w:rPr>
          <w:b w:val="1"/>
          <w:color w:val="333333"/>
          <w:sz w:val="26"/>
          <w:szCs w:val="26"/>
        </w:rPr>
      </w:pPr>
      <w:bookmarkStart w:colFirst="0" w:colLast="0" w:name="_z1x0s3b93ucy" w:id="1"/>
      <w:bookmarkEnd w:id="1"/>
      <w:r w:rsidDel="00000000" w:rsidR="00000000" w:rsidRPr="00000000">
        <w:rPr>
          <w:rtl w:val="0"/>
        </w:rPr>
      </w:r>
    </w:p>
    <w:p w:rsidR="00000000" w:rsidDel="00000000" w:rsidP="00000000" w:rsidRDefault="00000000" w:rsidRPr="00000000" w14:paraId="00000076">
      <w:pPr>
        <w:pStyle w:val="Heading3"/>
        <w:keepNext w:val="0"/>
        <w:keepLines w:val="0"/>
        <w:shd w:fill="ffffff" w:val="clear"/>
        <w:spacing w:before="280" w:lineRule="auto"/>
        <w:rPr>
          <w:b w:val="1"/>
          <w:color w:val="333333"/>
          <w:sz w:val="26"/>
          <w:szCs w:val="26"/>
        </w:rPr>
      </w:pPr>
      <w:bookmarkStart w:colFirst="0" w:colLast="0" w:name="_11u47882mgy8" w:id="2"/>
      <w:bookmarkEnd w:id="2"/>
      <w:r w:rsidDel="00000000" w:rsidR="00000000" w:rsidRPr="00000000">
        <w:rPr>
          <w:b w:val="1"/>
          <w:color w:val="333333"/>
          <w:sz w:val="26"/>
          <w:szCs w:val="26"/>
          <w:rtl w:val="0"/>
        </w:rPr>
        <w:t xml:space="preserve">The Tradeoffs between Return and Risk</w:t>
      </w:r>
    </w:p>
    <w:p w:rsidR="00000000" w:rsidDel="00000000" w:rsidP="00000000" w:rsidRDefault="00000000" w:rsidRPr="00000000" w14:paraId="00000077">
      <w:pPr>
        <w:shd w:fill="ffffff" w:val="clear"/>
        <w:spacing w:before="240" w:lineRule="auto"/>
        <w:rPr>
          <w:color w:val="424242"/>
          <w:sz w:val="21"/>
          <w:szCs w:val="21"/>
        </w:rPr>
      </w:pPr>
      <w:r w:rsidDel="00000000" w:rsidR="00000000" w:rsidRPr="00000000">
        <w:rPr>
          <w:color w:val="424242"/>
          <w:sz w:val="21"/>
          <w:szCs w:val="21"/>
          <w:rtl w:val="0"/>
        </w:rPr>
        <w:t xml:space="preserve">The discussion of financial investments has emphasized the expected rate of return, the risk, and the liquidity of each investment. </w:t>
      </w:r>
      <w:hyperlink r:id="rId17">
        <w:r w:rsidDel="00000000" w:rsidR="00000000" w:rsidRPr="00000000">
          <w:rPr>
            <w:color w:val="027eb5"/>
            <w:sz w:val="21"/>
            <w:szCs w:val="21"/>
            <w:u w:val="single"/>
            <w:rtl w:val="0"/>
          </w:rPr>
          <w:t xml:space="preserve">Table 17.3</w:t>
        </w:r>
      </w:hyperlink>
      <w:r w:rsidDel="00000000" w:rsidR="00000000" w:rsidRPr="00000000">
        <w:rPr>
          <w:color w:val="424242"/>
          <w:sz w:val="21"/>
          <w:szCs w:val="21"/>
          <w:rtl w:val="0"/>
        </w:rPr>
        <w:t xml:space="preserve"> summarizes these characteristics.</w:t>
      </w:r>
    </w:p>
    <w:tbl>
      <w:tblPr>
        <w:tblStyle w:val="Table3"/>
        <w:tblW w:w="9360.0" w:type="dxa"/>
        <w:jc w:val="left"/>
        <w:tblInd w:w="2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8.1021897810215"/>
        <w:gridCol w:w="2163.5036496350363"/>
        <w:gridCol w:w="2163.5036496350363"/>
        <w:gridCol w:w="2174.890510948905"/>
        <w:tblGridChange w:id="0">
          <w:tblGrid>
            <w:gridCol w:w="2858.1021897810215"/>
            <w:gridCol w:w="2163.5036496350363"/>
            <w:gridCol w:w="2163.5036496350363"/>
            <w:gridCol w:w="2174.890510948905"/>
          </w:tblGrid>
        </w:tblGridChange>
      </w:tblGrid>
      <w:tr>
        <w:trPr>
          <w:trHeight w:val="585" w:hRule="atLeast"/>
        </w:trPr>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78">
            <w:pPr>
              <w:spacing w:after="300" w:before="300" w:lineRule="auto"/>
              <w:jc w:val="center"/>
              <w:rPr>
                <w:color w:val="424242"/>
                <w:sz w:val="21"/>
                <w:szCs w:val="21"/>
              </w:rPr>
            </w:pPr>
            <w:r w:rsidDel="00000000" w:rsidR="00000000" w:rsidRPr="00000000">
              <w:rPr>
                <w:b w:val="1"/>
                <w:color w:val="424242"/>
                <w:sz w:val="21"/>
                <w:szCs w:val="21"/>
                <w:rtl w:val="0"/>
              </w:rPr>
              <w:t xml:space="preserve">Financial Investment</w:t>
            </w:r>
            <w:r w:rsidDel="00000000" w:rsidR="00000000" w:rsidRPr="00000000">
              <w:rPr>
                <w:rtl w:val="0"/>
              </w:rPr>
            </w:r>
          </w:p>
        </w:tc>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79">
            <w:pPr>
              <w:spacing w:after="300" w:before="300" w:lineRule="auto"/>
              <w:jc w:val="center"/>
              <w:rPr>
                <w:color w:val="424242"/>
                <w:sz w:val="21"/>
                <w:szCs w:val="21"/>
              </w:rPr>
            </w:pPr>
            <w:r w:rsidDel="00000000" w:rsidR="00000000" w:rsidRPr="00000000">
              <w:rPr>
                <w:b w:val="1"/>
                <w:color w:val="424242"/>
                <w:sz w:val="21"/>
                <w:szCs w:val="21"/>
                <w:rtl w:val="0"/>
              </w:rPr>
              <w:t xml:space="preserve">Return</w:t>
            </w:r>
            <w:r w:rsidDel="00000000" w:rsidR="00000000" w:rsidRPr="00000000">
              <w:rPr>
                <w:rtl w:val="0"/>
              </w:rPr>
            </w:r>
          </w:p>
        </w:tc>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7A">
            <w:pPr>
              <w:spacing w:after="300" w:before="300" w:lineRule="auto"/>
              <w:jc w:val="center"/>
              <w:rPr>
                <w:color w:val="424242"/>
                <w:sz w:val="21"/>
                <w:szCs w:val="21"/>
              </w:rPr>
            </w:pPr>
            <w:r w:rsidDel="00000000" w:rsidR="00000000" w:rsidRPr="00000000">
              <w:rPr>
                <w:b w:val="1"/>
                <w:color w:val="424242"/>
                <w:sz w:val="21"/>
                <w:szCs w:val="21"/>
                <w:rtl w:val="0"/>
              </w:rPr>
              <w:t xml:space="preserve">Risk</w:t>
            </w:r>
            <w:r w:rsidDel="00000000" w:rsidR="00000000" w:rsidRPr="00000000">
              <w:rPr>
                <w:rtl w:val="0"/>
              </w:rPr>
            </w:r>
          </w:p>
        </w:tc>
        <w:tc>
          <w:tcPr>
            <w:tcBorders>
              <w:top w:color="dddddd" w:space="0" w:sz="19" w:val="single"/>
              <w:left w:color="dddddd" w:space="0" w:sz="19" w:val="single"/>
              <w:bottom w:color="dddddd" w:space="0" w:sz="19" w:val="single"/>
              <w:right w:color="dddddd" w:space="0" w:sz="19" w:val="single"/>
            </w:tcBorders>
            <w:tcMar>
              <w:top w:w="100.0" w:type="dxa"/>
              <w:left w:w="220.0" w:type="dxa"/>
              <w:bottom w:w="100.0" w:type="dxa"/>
              <w:right w:w="220.0" w:type="dxa"/>
            </w:tcMar>
            <w:vAlign w:val="bottom"/>
          </w:tcPr>
          <w:p w:rsidR="00000000" w:rsidDel="00000000" w:rsidP="00000000" w:rsidRDefault="00000000" w:rsidRPr="00000000" w14:paraId="0000007B">
            <w:pPr>
              <w:spacing w:after="300" w:before="300" w:lineRule="auto"/>
              <w:jc w:val="center"/>
              <w:rPr>
                <w:color w:val="424242"/>
                <w:sz w:val="21"/>
                <w:szCs w:val="21"/>
              </w:rPr>
            </w:pPr>
            <w:r w:rsidDel="00000000" w:rsidR="00000000" w:rsidRPr="00000000">
              <w:rPr>
                <w:b w:val="1"/>
                <w:color w:val="424242"/>
                <w:sz w:val="21"/>
                <w:szCs w:val="21"/>
                <w:rtl w:val="0"/>
              </w:rPr>
              <w:t xml:space="preserve">Liquidity</w:t>
            </w:r>
            <w:r w:rsidDel="00000000" w:rsidR="00000000" w:rsidRPr="00000000">
              <w:rPr>
                <w:rtl w:val="0"/>
              </w:rPr>
            </w:r>
          </w:p>
        </w:tc>
      </w:tr>
      <w:tr>
        <w:trPr>
          <w:trHeight w:val="570"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7C">
            <w:pPr>
              <w:spacing w:after="300" w:before="300" w:lineRule="auto"/>
              <w:rPr>
                <w:color w:val="424242"/>
                <w:sz w:val="21"/>
                <w:szCs w:val="21"/>
              </w:rPr>
            </w:pPr>
            <w:r w:rsidDel="00000000" w:rsidR="00000000" w:rsidRPr="00000000">
              <w:rPr>
                <w:color w:val="424242"/>
                <w:sz w:val="21"/>
                <w:szCs w:val="21"/>
                <w:rtl w:val="0"/>
              </w:rPr>
              <w:t xml:space="preserve">Checking account</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7D">
            <w:pPr>
              <w:spacing w:after="300" w:before="300" w:lineRule="auto"/>
              <w:rPr>
                <w:color w:val="424242"/>
                <w:sz w:val="21"/>
                <w:szCs w:val="21"/>
              </w:rPr>
            </w:pPr>
            <w:r w:rsidDel="00000000" w:rsidR="00000000" w:rsidRPr="00000000">
              <w:rPr>
                <w:color w:val="424242"/>
                <w:sz w:val="21"/>
                <w:szCs w:val="21"/>
                <w:rtl w:val="0"/>
              </w:rPr>
              <w:t xml:space="preserve">Very low</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7E">
            <w:pPr>
              <w:spacing w:after="300" w:before="300" w:lineRule="auto"/>
              <w:rPr>
                <w:color w:val="424242"/>
                <w:sz w:val="21"/>
                <w:szCs w:val="21"/>
              </w:rPr>
            </w:pPr>
            <w:r w:rsidDel="00000000" w:rsidR="00000000" w:rsidRPr="00000000">
              <w:rPr>
                <w:color w:val="424242"/>
                <w:sz w:val="21"/>
                <w:szCs w:val="21"/>
                <w:rtl w:val="0"/>
              </w:rPr>
              <w:t xml:space="preserve">Very little</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7F">
            <w:pPr>
              <w:spacing w:after="300" w:before="300" w:lineRule="auto"/>
              <w:rPr>
                <w:color w:val="424242"/>
                <w:sz w:val="21"/>
                <w:szCs w:val="21"/>
              </w:rPr>
            </w:pPr>
            <w:r w:rsidDel="00000000" w:rsidR="00000000" w:rsidRPr="00000000">
              <w:rPr>
                <w:color w:val="424242"/>
                <w:sz w:val="21"/>
                <w:szCs w:val="21"/>
                <w:rtl w:val="0"/>
              </w:rPr>
              <w:t xml:space="preserve">Very high</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0">
            <w:pPr>
              <w:spacing w:after="300" w:before="300" w:lineRule="auto"/>
              <w:rPr>
                <w:color w:val="424242"/>
                <w:sz w:val="21"/>
                <w:szCs w:val="21"/>
              </w:rPr>
            </w:pPr>
            <w:r w:rsidDel="00000000" w:rsidR="00000000" w:rsidRPr="00000000">
              <w:rPr>
                <w:color w:val="424242"/>
                <w:sz w:val="21"/>
                <w:szCs w:val="21"/>
                <w:rtl w:val="0"/>
              </w:rPr>
              <w:t xml:space="preserve">Savings account</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1">
            <w:pPr>
              <w:spacing w:after="300" w:before="300" w:lineRule="auto"/>
              <w:rPr>
                <w:color w:val="424242"/>
                <w:sz w:val="21"/>
                <w:szCs w:val="21"/>
              </w:rPr>
            </w:pPr>
            <w:r w:rsidDel="00000000" w:rsidR="00000000" w:rsidRPr="00000000">
              <w:rPr>
                <w:color w:val="424242"/>
                <w:sz w:val="21"/>
                <w:szCs w:val="21"/>
                <w:rtl w:val="0"/>
              </w:rPr>
              <w:t xml:space="preserve">Low</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2">
            <w:pPr>
              <w:spacing w:after="300" w:before="300" w:lineRule="auto"/>
              <w:rPr>
                <w:color w:val="424242"/>
                <w:sz w:val="21"/>
                <w:szCs w:val="21"/>
              </w:rPr>
            </w:pPr>
            <w:r w:rsidDel="00000000" w:rsidR="00000000" w:rsidRPr="00000000">
              <w:rPr>
                <w:color w:val="424242"/>
                <w:sz w:val="21"/>
                <w:szCs w:val="21"/>
                <w:rtl w:val="0"/>
              </w:rPr>
              <w:t xml:space="preserve">Very little</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3">
            <w:pPr>
              <w:spacing w:after="300" w:before="300" w:lineRule="auto"/>
              <w:rPr>
                <w:color w:val="424242"/>
                <w:sz w:val="21"/>
                <w:szCs w:val="21"/>
              </w:rPr>
            </w:pPr>
            <w:r w:rsidDel="00000000" w:rsidR="00000000" w:rsidRPr="00000000">
              <w:rPr>
                <w:color w:val="424242"/>
                <w:sz w:val="21"/>
                <w:szCs w:val="21"/>
                <w:rtl w:val="0"/>
              </w:rPr>
              <w:t xml:space="preserve">High</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4">
            <w:pPr>
              <w:spacing w:after="300" w:before="300" w:lineRule="auto"/>
              <w:rPr>
                <w:color w:val="424242"/>
                <w:sz w:val="21"/>
                <w:szCs w:val="21"/>
              </w:rPr>
            </w:pPr>
            <w:r w:rsidDel="00000000" w:rsidR="00000000" w:rsidRPr="00000000">
              <w:rPr>
                <w:color w:val="424242"/>
                <w:sz w:val="21"/>
                <w:szCs w:val="21"/>
                <w:rtl w:val="0"/>
              </w:rPr>
              <w:t xml:space="preserve">Certificate of deposit</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5">
            <w:pPr>
              <w:spacing w:after="300" w:before="300" w:lineRule="auto"/>
              <w:rPr>
                <w:color w:val="424242"/>
                <w:sz w:val="21"/>
                <w:szCs w:val="21"/>
              </w:rPr>
            </w:pPr>
            <w:r w:rsidDel="00000000" w:rsidR="00000000" w:rsidRPr="00000000">
              <w:rPr>
                <w:color w:val="424242"/>
                <w:sz w:val="21"/>
                <w:szCs w:val="21"/>
                <w:rtl w:val="0"/>
              </w:rPr>
              <w:t xml:space="preserve">Low to medium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6">
            <w:pPr>
              <w:spacing w:after="300" w:before="300" w:lineRule="auto"/>
              <w:rPr>
                <w:color w:val="424242"/>
                <w:sz w:val="21"/>
                <w:szCs w:val="21"/>
              </w:rPr>
            </w:pPr>
            <w:r w:rsidDel="00000000" w:rsidR="00000000" w:rsidRPr="00000000">
              <w:rPr>
                <w:color w:val="424242"/>
                <w:sz w:val="21"/>
                <w:szCs w:val="21"/>
                <w:rtl w:val="0"/>
              </w:rPr>
              <w:t xml:space="preserve">Very little</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7">
            <w:pPr>
              <w:spacing w:after="300" w:before="300" w:lineRule="auto"/>
              <w:rPr>
                <w:color w:val="424242"/>
                <w:sz w:val="21"/>
                <w:szCs w:val="21"/>
              </w:rPr>
            </w:pPr>
            <w:r w:rsidDel="00000000" w:rsidR="00000000" w:rsidRPr="00000000">
              <w:rPr>
                <w:color w:val="424242"/>
                <w:sz w:val="21"/>
                <w:szCs w:val="21"/>
                <w:rtl w:val="0"/>
              </w:rPr>
              <w:t xml:space="preserve">Medium</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8">
            <w:pPr>
              <w:spacing w:after="300" w:before="300" w:lineRule="auto"/>
              <w:rPr>
                <w:color w:val="424242"/>
                <w:sz w:val="21"/>
                <w:szCs w:val="21"/>
              </w:rPr>
            </w:pPr>
            <w:r w:rsidDel="00000000" w:rsidR="00000000" w:rsidRPr="00000000">
              <w:rPr>
                <w:color w:val="424242"/>
                <w:sz w:val="21"/>
                <w:szCs w:val="21"/>
                <w:rtl w:val="0"/>
              </w:rPr>
              <w:t xml:space="preserve">Stocks</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9">
            <w:pPr>
              <w:spacing w:after="300" w:before="300" w:lineRule="auto"/>
              <w:rPr>
                <w:color w:val="424242"/>
                <w:sz w:val="21"/>
                <w:szCs w:val="21"/>
              </w:rPr>
            </w:pPr>
            <w:r w:rsidDel="00000000" w:rsidR="00000000" w:rsidRPr="00000000">
              <w:rPr>
                <w:color w:val="424242"/>
                <w:sz w:val="21"/>
                <w:szCs w:val="21"/>
                <w:rtl w:val="0"/>
              </w:rPr>
              <w:t xml:space="preserve">High</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A">
            <w:pPr>
              <w:spacing w:after="300" w:before="300" w:lineRule="auto"/>
              <w:rPr>
                <w:color w:val="424242"/>
                <w:sz w:val="21"/>
                <w:szCs w:val="21"/>
              </w:rPr>
            </w:pPr>
            <w:r w:rsidDel="00000000" w:rsidR="00000000" w:rsidRPr="00000000">
              <w:rPr>
                <w:color w:val="424242"/>
                <w:sz w:val="21"/>
                <w:szCs w:val="21"/>
                <w:rtl w:val="0"/>
              </w:rPr>
              <w:t xml:space="preserve">Medium to high</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B">
            <w:pPr>
              <w:spacing w:after="300" w:before="300" w:lineRule="auto"/>
              <w:rPr>
                <w:color w:val="424242"/>
                <w:sz w:val="21"/>
                <w:szCs w:val="21"/>
              </w:rPr>
            </w:pPr>
            <w:r w:rsidDel="00000000" w:rsidR="00000000" w:rsidRPr="00000000">
              <w:rPr>
                <w:color w:val="424242"/>
                <w:sz w:val="21"/>
                <w:szCs w:val="21"/>
                <w:rtl w:val="0"/>
              </w:rPr>
              <w:t xml:space="preserve">Medium</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C">
            <w:pPr>
              <w:spacing w:after="300" w:before="300" w:lineRule="auto"/>
              <w:rPr>
                <w:color w:val="424242"/>
                <w:sz w:val="21"/>
                <w:szCs w:val="21"/>
              </w:rPr>
            </w:pPr>
            <w:r w:rsidDel="00000000" w:rsidR="00000000" w:rsidRPr="00000000">
              <w:rPr>
                <w:color w:val="424242"/>
                <w:sz w:val="21"/>
                <w:szCs w:val="21"/>
                <w:rtl w:val="0"/>
              </w:rPr>
              <w:t xml:space="preserve">Bonds</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D">
            <w:pPr>
              <w:spacing w:after="300" w:before="300" w:lineRule="auto"/>
              <w:rPr>
                <w:color w:val="424242"/>
                <w:sz w:val="21"/>
                <w:szCs w:val="21"/>
              </w:rPr>
            </w:pPr>
            <w:r w:rsidDel="00000000" w:rsidR="00000000" w:rsidRPr="00000000">
              <w:rPr>
                <w:color w:val="424242"/>
                <w:sz w:val="21"/>
                <w:szCs w:val="21"/>
                <w:rtl w:val="0"/>
              </w:rPr>
              <w:t xml:space="preserve">Medium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E">
            <w:pPr>
              <w:spacing w:after="300" w:before="300" w:lineRule="auto"/>
              <w:rPr>
                <w:color w:val="424242"/>
                <w:sz w:val="21"/>
                <w:szCs w:val="21"/>
              </w:rPr>
            </w:pPr>
            <w:r w:rsidDel="00000000" w:rsidR="00000000" w:rsidRPr="00000000">
              <w:rPr>
                <w:color w:val="424242"/>
                <w:sz w:val="21"/>
                <w:szCs w:val="21"/>
                <w:rtl w:val="0"/>
              </w:rPr>
              <w:t xml:space="preserve">Low to medium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8F">
            <w:pPr>
              <w:spacing w:after="300" w:before="300" w:lineRule="auto"/>
              <w:rPr>
                <w:color w:val="424242"/>
                <w:sz w:val="21"/>
                <w:szCs w:val="21"/>
              </w:rPr>
            </w:pPr>
            <w:r w:rsidDel="00000000" w:rsidR="00000000" w:rsidRPr="00000000">
              <w:rPr>
                <w:color w:val="424242"/>
                <w:sz w:val="21"/>
                <w:szCs w:val="21"/>
                <w:rtl w:val="0"/>
              </w:rPr>
              <w:t xml:space="preserve">Medium</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0">
            <w:pPr>
              <w:spacing w:after="300" w:before="300" w:lineRule="auto"/>
              <w:rPr>
                <w:color w:val="424242"/>
                <w:sz w:val="21"/>
                <w:szCs w:val="21"/>
              </w:rPr>
            </w:pPr>
            <w:r w:rsidDel="00000000" w:rsidR="00000000" w:rsidRPr="00000000">
              <w:rPr>
                <w:color w:val="424242"/>
                <w:sz w:val="21"/>
                <w:szCs w:val="21"/>
                <w:rtl w:val="0"/>
              </w:rPr>
              <w:t xml:space="preserve">Mutual funds</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1">
            <w:pPr>
              <w:spacing w:after="300" w:before="300" w:lineRule="auto"/>
              <w:rPr>
                <w:color w:val="424242"/>
                <w:sz w:val="21"/>
                <w:szCs w:val="21"/>
              </w:rPr>
            </w:pPr>
            <w:r w:rsidDel="00000000" w:rsidR="00000000" w:rsidRPr="00000000">
              <w:rPr>
                <w:color w:val="424242"/>
                <w:sz w:val="21"/>
                <w:szCs w:val="21"/>
                <w:rtl w:val="0"/>
              </w:rPr>
              <w:t xml:space="preserve">Medium to high</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2">
            <w:pPr>
              <w:spacing w:after="300" w:before="300" w:lineRule="auto"/>
              <w:rPr>
                <w:color w:val="424242"/>
                <w:sz w:val="21"/>
                <w:szCs w:val="21"/>
              </w:rPr>
            </w:pPr>
            <w:r w:rsidDel="00000000" w:rsidR="00000000" w:rsidRPr="00000000">
              <w:rPr>
                <w:color w:val="424242"/>
                <w:sz w:val="21"/>
                <w:szCs w:val="21"/>
                <w:rtl w:val="0"/>
              </w:rPr>
              <w:t xml:space="preserve">Medium to high</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3">
            <w:pPr>
              <w:spacing w:after="300" w:before="300" w:lineRule="auto"/>
              <w:rPr>
                <w:color w:val="424242"/>
                <w:sz w:val="21"/>
                <w:szCs w:val="21"/>
              </w:rPr>
            </w:pPr>
            <w:r w:rsidDel="00000000" w:rsidR="00000000" w:rsidRPr="00000000">
              <w:rPr>
                <w:color w:val="424242"/>
                <w:sz w:val="21"/>
                <w:szCs w:val="21"/>
                <w:rtl w:val="0"/>
              </w:rPr>
              <w:t xml:space="preserve">Medium to high</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4">
            <w:pPr>
              <w:spacing w:after="300" w:before="300" w:lineRule="auto"/>
              <w:rPr>
                <w:color w:val="424242"/>
                <w:sz w:val="21"/>
                <w:szCs w:val="21"/>
              </w:rPr>
            </w:pPr>
            <w:r w:rsidDel="00000000" w:rsidR="00000000" w:rsidRPr="00000000">
              <w:rPr>
                <w:color w:val="424242"/>
                <w:sz w:val="21"/>
                <w:szCs w:val="21"/>
                <w:rtl w:val="0"/>
              </w:rPr>
              <w:t xml:space="preserve">Housing</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5">
            <w:pPr>
              <w:spacing w:after="300" w:before="300" w:lineRule="auto"/>
              <w:rPr>
                <w:color w:val="424242"/>
                <w:sz w:val="21"/>
                <w:szCs w:val="21"/>
              </w:rPr>
            </w:pPr>
            <w:r w:rsidDel="00000000" w:rsidR="00000000" w:rsidRPr="00000000">
              <w:rPr>
                <w:color w:val="424242"/>
                <w:sz w:val="21"/>
                <w:szCs w:val="21"/>
                <w:rtl w:val="0"/>
              </w:rPr>
              <w:t xml:space="preserve">Medium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6">
            <w:pPr>
              <w:spacing w:after="300" w:before="300" w:lineRule="auto"/>
              <w:rPr>
                <w:color w:val="424242"/>
                <w:sz w:val="21"/>
                <w:szCs w:val="21"/>
              </w:rPr>
            </w:pPr>
            <w:r w:rsidDel="00000000" w:rsidR="00000000" w:rsidRPr="00000000">
              <w:rPr>
                <w:color w:val="424242"/>
                <w:sz w:val="21"/>
                <w:szCs w:val="21"/>
                <w:rtl w:val="0"/>
              </w:rPr>
              <w:t xml:space="preserve">Medium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7">
            <w:pPr>
              <w:spacing w:after="300" w:before="300" w:lineRule="auto"/>
              <w:rPr>
                <w:color w:val="424242"/>
                <w:sz w:val="21"/>
                <w:szCs w:val="21"/>
              </w:rPr>
            </w:pPr>
            <w:r w:rsidDel="00000000" w:rsidR="00000000" w:rsidRPr="00000000">
              <w:rPr>
                <w:color w:val="424242"/>
                <w:sz w:val="21"/>
                <w:szCs w:val="21"/>
                <w:rtl w:val="0"/>
              </w:rPr>
              <w:t xml:space="preserve">Low</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8">
            <w:pPr>
              <w:spacing w:after="300" w:before="300" w:lineRule="auto"/>
              <w:rPr>
                <w:color w:val="424242"/>
                <w:sz w:val="21"/>
                <w:szCs w:val="21"/>
              </w:rPr>
            </w:pPr>
            <w:r w:rsidDel="00000000" w:rsidR="00000000" w:rsidRPr="00000000">
              <w:rPr>
                <w:color w:val="424242"/>
                <w:sz w:val="21"/>
                <w:szCs w:val="21"/>
                <w:rtl w:val="0"/>
              </w:rPr>
              <w:t xml:space="preserve">Gold</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9">
            <w:pPr>
              <w:spacing w:after="300" w:before="300" w:lineRule="auto"/>
              <w:rPr>
                <w:color w:val="424242"/>
                <w:sz w:val="21"/>
                <w:szCs w:val="21"/>
              </w:rPr>
            </w:pPr>
            <w:r w:rsidDel="00000000" w:rsidR="00000000" w:rsidRPr="00000000">
              <w:rPr>
                <w:color w:val="424242"/>
                <w:sz w:val="21"/>
                <w:szCs w:val="21"/>
                <w:rtl w:val="0"/>
              </w:rPr>
              <w:t xml:space="preserve">Medium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A">
            <w:pPr>
              <w:spacing w:after="300" w:before="300" w:lineRule="auto"/>
              <w:rPr>
                <w:color w:val="424242"/>
                <w:sz w:val="21"/>
                <w:szCs w:val="21"/>
              </w:rPr>
            </w:pPr>
            <w:r w:rsidDel="00000000" w:rsidR="00000000" w:rsidRPr="00000000">
              <w:rPr>
                <w:color w:val="424242"/>
                <w:sz w:val="21"/>
                <w:szCs w:val="21"/>
                <w:rtl w:val="0"/>
              </w:rPr>
              <w:t xml:space="preserve">High</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B">
            <w:pPr>
              <w:spacing w:after="300" w:before="300" w:lineRule="auto"/>
              <w:rPr>
                <w:color w:val="424242"/>
                <w:sz w:val="21"/>
                <w:szCs w:val="21"/>
              </w:rPr>
            </w:pPr>
            <w:r w:rsidDel="00000000" w:rsidR="00000000" w:rsidRPr="00000000">
              <w:rPr>
                <w:color w:val="424242"/>
                <w:sz w:val="21"/>
                <w:szCs w:val="21"/>
                <w:rtl w:val="0"/>
              </w:rPr>
              <w:t xml:space="preserve">Low</w:t>
            </w:r>
          </w:p>
        </w:tc>
      </w:tr>
      <w:tr>
        <w:trPr>
          <w:trHeight w:val="555" w:hRule="atLeast"/>
        </w:trPr>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C">
            <w:pPr>
              <w:spacing w:after="300" w:before="300" w:lineRule="auto"/>
              <w:rPr>
                <w:color w:val="424242"/>
                <w:sz w:val="21"/>
                <w:szCs w:val="21"/>
              </w:rPr>
            </w:pPr>
            <w:r w:rsidDel="00000000" w:rsidR="00000000" w:rsidRPr="00000000">
              <w:rPr>
                <w:color w:val="424242"/>
                <w:sz w:val="21"/>
                <w:szCs w:val="21"/>
                <w:rtl w:val="0"/>
              </w:rPr>
              <w:t xml:space="preserve">Collectibles</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D">
            <w:pPr>
              <w:spacing w:after="300" w:before="300" w:lineRule="auto"/>
              <w:rPr>
                <w:color w:val="424242"/>
                <w:sz w:val="21"/>
                <w:szCs w:val="21"/>
              </w:rPr>
            </w:pPr>
            <w:r w:rsidDel="00000000" w:rsidR="00000000" w:rsidRPr="00000000">
              <w:rPr>
                <w:color w:val="424242"/>
                <w:sz w:val="21"/>
                <w:szCs w:val="21"/>
                <w:rtl w:val="0"/>
              </w:rPr>
              <w:t xml:space="preserve">Low to medium</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E">
            <w:pPr>
              <w:spacing w:after="300" w:before="300" w:lineRule="auto"/>
              <w:rPr>
                <w:color w:val="424242"/>
                <w:sz w:val="21"/>
                <w:szCs w:val="21"/>
              </w:rPr>
            </w:pPr>
            <w:r w:rsidDel="00000000" w:rsidR="00000000" w:rsidRPr="00000000">
              <w:rPr>
                <w:color w:val="424242"/>
                <w:sz w:val="21"/>
                <w:szCs w:val="21"/>
                <w:rtl w:val="0"/>
              </w:rPr>
              <w:t xml:space="preserve">High</w:t>
            </w:r>
          </w:p>
        </w:tc>
        <w:tc>
          <w:tcPr>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9F">
            <w:pPr>
              <w:spacing w:after="300" w:before="300" w:lineRule="auto"/>
              <w:rPr>
                <w:color w:val="424242"/>
                <w:sz w:val="21"/>
                <w:szCs w:val="21"/>
              </w:rPr>
            </w:pPr>
            <w:r w:rsidDel="00000000" w:rsidR="00000000" w:rsidRPr="00000000">
              <w:rPr>
                <w:color w:val="424242"/>
                <w:sz w:val="21"/>
                <w:szCs w:val="21"/>
                <w:rtl w:val="0"/>
              </w:rPr>
              <w:t xml:space="preserve">Low</w:t>
            </w:r>
          </w:p>
        </w:tc>
      </w:tr>
    </w:tbl>
    <w:p w:rsidR="00000000" w:rsidDel="00000000" w:rsidP="00000000" w:rsidRDefault="00000000" w:rsidRPr="00000000" w14:paraId="000000A0">
      <w:pPr>
        <w:shd w:fill="ffffff" w:val="clear"/>
        <w:spacing w:after="300" w:before="300" w:lineRule="auto"/>
        <w:rPr>
          <w:b w:val="1"/>
          <w:color w:val="424242"/>
          <w:sz w:val="19"/>
          <w:szCs w:val="19"/>
        </w:rPr>
      </w:pPr>
      <w:r w:rsidDel="00000000" w:rsidR="00000000" w:rsidRPr="00000000">
        <w:rPr>
          <w:rtl w:val="0"/>
        </w:rPr>
      </w:r>
    </w:p>
    <w:p w:rsidR="00000000" w:rsidDel="00000000" w:rsidP="00000000" w:rsidRDefault="00000000" w:rsidRPr="00000000" w14:paraId="000000A1">
      <w:pPr>
        <w:shd w:fill="ffffff" w:val="clear"/>
        <w:spacing w:after="300" w:before="300" w:lineRule="auto"/>
        <w:rPr>
          <w:b w:val="1"/>
          <w:color w:val="424242"/>
          <w:sz w:val="19"/>
          <w:szCs w:val="19"/>
        </w:rPr>
      </w:pPr>
      <w:r w:rsidDel="00000000" w:rsidR="00000000" w:rsidRPr="00000000">
        <w:rPr>
          <w:rtl w:val="0"/>
        </w:rPr>
      </w:r>
    </w:p>
    <w:p w:rsidR="00000000" w:rsidDel="00000000" w:rsidP="00000000" w:rsidRDefault="00000000" w:rsidRPr="00000000" w14:paraId="000000A2">
      <w:pPr>
        <w:shd w:fill="ffffff" w:val="clear"/>
        <w:spacing w:after="300" w:before="300" w:lineRule="auto"/>
        <w:rPr>
          <w:color w:val="424242"/>
          <w:sz w:val="19"/>
          <w:szCs w:val="19"/>
        </w:rPr>
      </w:pPr>
      <w:r w:rsidDel="00000000" w:rsidR="00000000" w:rsidRPr="00000000">
        <w:rPr>
          <w:b w:val="1"/>
          <w:color w:val="424242"/>
          <w:sz w:val="19"/>
          <w:szCs w:val="19"/>
          <w:rtl w:val="0"/>
        </w:rPr>
        <w:t xml:space="preserve">Table17.3</w:t>
      </w:r>
      <w:r w:rsidDel="00000000" w:rsidR="00000000" w:rsidRPr="00000000">
        <w:rPr>
          <w:color w:val="424242"/>
          <w:sz w:val="19"/>
          <w:szCs w:val="19"/>
          <w:rtl w:val="0"/>
        </w:rPr>
        <w:t xml:space="preserve"> Key Characteristics for Financial Investments</w:t>
      </w:r>
    </w:p>
    <w:p w:rsidR="00000000" w:rsidDel="00000000" w:rsidP="00000000" w:rsidRDefault="00000000" w:rsidRPr="00000000" w14:paraId="000000A3">
      <w:pPr>
        <w:pStyle w:val="Heading3"/>
        <w:keepNext w:val="0"/>
        <w:keepLines w:val="0"/>
        <w:pBdr>
          <w:top w:color="auto" w:space="0" w:sz="0" w:val="none"/>
        </w:pBdr>
        <w:spacing w:before="280" w:lineRule="auto"/>
        <w:rPr>
          <w:b w:val="1"/>
          <w:color w:val="424242"/>
          <w:sz w:val="25"/>
          <w:szCs w:val="25"/>
        </w:rPr>
      </w:pPr>
      <w:bookmarkStart w:colFirst="0" w:colLast="0" w:name="_7ppll51hmdpr" w:id="3"/>
      <w:bookmarkEnd w:id="3"/>
      <w:r w:rsidDel="00000000" w:rsidR="00000000" w:rsidRPr="00000000">
        <w:rPr>
          <w:b w:val="1"/>
          <w:color w:val="424242"/>
          <w:sz w:val="25"/>
          <w:szCs w:val="25"/>
          <w:rtl w:val="0"/>
        </w:rPr>
        <w:t xml:space="preserve">WORK IT OUT</w:t>
      </w:r>
    </w:p>
    <w:p w:rsidR="00000000" w:rsidDel="00000000" w:rsidP="00000000" w:rsidRDefault="00000000" w:rsidRPr="00000000" w14:paraId="000000A4">
      <w:pPr>
        <w:pStyle w:val="Heading4"/>
        <w:keepNext w:val="0"/>
        <w:keepLines w:val="0"/>
        <w:spacing w:after="40" w:before="240" w:lineRule="auto"/>
        <w:rPr>
          <w:b w:val="1"/>
          <w:color w:val="333333"/>
          <w:sz w:val="21"/>
          <w:szCs w:val="21"/>
          <w:shd w:fill="ededed" w:val="clear"/>
        </w:rPr>
      </w:pPr>
      <w:bookmarkStart w:colFirst="0" w:colLast="0" w:name="_ms6itvs06b91" w:id="4"/>
      <w:bookmarkEnd w:id="4"/>
      <w:r w:rsidDel="00000000" w:rsidR="00000000" w:rsidRPr="00000000">
        <w:rPr>
          <w:b w:val="1"/>
          <w:color w:val="333333"/>
          <w:sz w:val="21"/>
          <w:szCs w:val="21"/>
          <w:shd w:fill="ededed" w:val="clear"/>
          <w:rtl w:val="0"/>
        </w:rPr>
        <w:t xml:space="preserve">Simple and Compound Interest</w:t>
      </w:r>
    </w:p>
    <w:p w:rsidR="00000000" w:rsidDel="00000000" w:rsidP="00000000" w:rsidRDefault="00000000" w:rsidRPr="00000000" w14:paraId="000000A5">
      <w:pPr>
        <w:spacing w:before="240" w:lineRule="auto"/>
        <w:rPr>
          <w:color w:val="424242"/>
          <w:sz w:val="21"/>
          <w:szCs w:val="21"/>
          <w:shd w:fill="ededed" w:val="clear"/>
        </w:rPr>
      </w:pPr>
      <w:r w:rsidDel="00000000" w:rsidR="00000000" w:rsidRPr="00000000">
        <w:rPr>
          <w:b w:val="1"/>
          <w:color w:val="424242"/>
          <w:sz w:val="21"/>
          <w:szCs w:val="21"/>
          <w:shd w:fill="ededed" w:val="clear"/>
          <w:rtl w:val="0"/>
        </w:rPr>
        <w:t xml:space="preserve">Simple interest</w:t>
      </w:r>
      <w:r w:rsidDel="00000000" w:rsidR="00000000" w:rsidRPr="00000000">
        <w:rPr>
          <w:color w:val="424242"/>
          <w:sz w:val="21"/>
          <w:szCs w:val="21"/>
          <w:shd w:fill="ededed" w:val="clear"/>
          <w:rtl w:val="0"/>
        </w:rPr>
        <w:t xml:space="preserve"> is an interest rate calculation only on the principal amount.</w:t>
      </w:r>
    </w:p>
    <w:p w:rsidR="00000000" w:rsidDel="00000000" w:rsidP="00000000" w:rsidRDefault="00000000" w:rsidRPr="00000000" w14:paraId="000000A6">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Step 1. Learn the formula for simple interest:</w:t>
      </w:r>
    </w:p>
    <w:p w:rsidR="00000000" w:rsidDel="00000000" w:rsidP="00000000" w:rsidRDefault="00000000" w:rsidRPr="00000000" w14:paraId="000000A7">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Principal×Rate×Time=Interest</w:t>
      </w:r>
    </w:p>
    <w:p w:rsidR="00000000" w:rsidDel="00000000" w:rsidP="00000000" w:rsidRDefault="00000000" w:rsidRPr="00000000" w14:paraId="000000A8">
      <w:pPr>
        <w:spacing w:after="220" w:before="220" w:lineRule="auto"/>
        <w:jc w:val="center"/>
        <w:rPr>
          <w:color w:val="424242"/>
          <w:sz w:val="21"/>
          <w:szCs w:val="21"/>
          <w:shd w:fill="ededed" w:val="clear"/>
        </w:rPr>
      </w:pPr>
      <w:r w:rsidDel="00000000" w:rsidR="00000000" w:rsidRPr="00000000">
        <w:rPr>
          <w:color w:val="424242"/>
          <w:sz w:val="21"/>
          <w:szCs w:val="21"/>
          <w:shd w:fill="ededed" w:val="clear"/>
          <w:rtl w:val="0"/>
        </w:rPr>
        <w:t xml:space="preserve">Principal</w:t>
      </w:r>
    </w:p>
    <w:p w:rsidR="00000000" w:rsidDel="00000000" w:rsidP="00000000" w:rsidRDefault="00000000" w:rsidRPr="00000000" w14:paraId="000000A9">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Step 2. Practice using the simple interest formula.</w:t>
      </w:r>
    </w:p>
    <w:p w:rsidR="00000000" w:rsidDel="00000000" w:rsidP="00000000" w:rsidRDefault="00000000" w:rsidRPr="00000000" w14:paraId="000000AA">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Example 1: $100 Deposit at a simple interest rate of 5% held for one year is:</w:t>
      </w:r>
    </w:p>
    <w:p w:rsidR="00000000" w:rsidDel="00000000" w:rsidP="00000000" w:rsidRDefault="00000000" w:rsidRPr="00000000" w14:paraId="000000AB">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$100×0.05×1=$5</w:t>
      </w:r>
    </w:p>
    <w:p w:rsidR="00000000" w:rsidDel="00000000" w:rsidP="00000000" w:rsidRDefault="00000000" w:rsidRPr="00000000" w14:paraId="000000AC">
      <w:pPr>
        <w:spacing w:after="220" w:before="220" w:lineRule="auto"/>
        <w:jc w:val="center"/>
        <w:rPr>
          <w:color w:val="424242"/>
          <w:sz w:val="21"/>
          <w:szCs w:val="21"/>
          <w:shd w:fill="ededed" w:val="clear"/>
        </w:rPr>
      </w:pPr>
      <w:r w:rsidDel="00000000" w:rsidR="00000000" w:rsidRPr="00000000">
        <w:rPr>
          <w:color w:val="424242"/>
          <w:sz w:val="21"/>
          <w:szCs w:val="21"/>
          <w:shd w:fill="ededed" w:val="clear"/>
          <w:rtl w:val="0"/>
        </w:rPr>
        <w:t xml:space="preserve">$100</w:t>
      </w:r>
    </w:p>
    <w:p w:rsidR="00000000" w:rsidDel="00000000" w:rsidP="00000000" w:rsidRDefault="00000000" w:rsidRPr="00000000" w14:paraId="000000AD">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Simple interest in this example is $15.</w:t>
      </w:r>
    </w:p>
    <w:p w:rsidR="00000000" w:rsidDel="00000000" w:rsidP="00000000" w:rsidRDefault="00000000" w:rsidRPr="00000000" w14:paraId="000000AE">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Example 2: $100 Deposit at a simple interest rate of 5% held for three years is:</w:t>
      </w:r>
    </w:p>
    <w:p w:rsidR="00000000" w:rsidDel="00000000" w:rsidP="00000000" w:rsidRDefault="00000000" w:rsidRPr="00000000" w14:paraId="000000AF">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$100×0.05×3=$15</w:t>
      </w:r>
    </w:p>
    <w:p w:rsidR="00000000" w:rsidDel="00000000" w:rsidP="00000000" w:rsidRDefault="00000000" w:rsidRPr="00000000" w14:paraId="000000B0">
      <w:pPr>
        <w:spacing w:after="220" w:before="220" w:lineRule="auto"/>
        <w:jc w:val="center"/>
        <w:rPr>
          <w:color w:val="424242"/>
          <w:sz w:val="21"/>
          <w:szCs w:val="21"/>
          <w:shd w:fill="ededed" w:val="clear"/>
        </w:rPr>
      </w:pPr>
      <w:r w:rsidDel="00000000" w:rsidR="00000000" w:rsidRPr="00000000">
        <w:rPr>
          <w:color w:val="424242"/>
          <w:sz w:val="21"/>
          <w:szCs w:val="21"/>
          <w:shd w:fill="ededed" w:val="clear"/>
          <w:rtl w:val="0"/>
        </w:rPr>
        <w:t xml:space="preserve">$100</w:t>
      </w:r>
    </w:p>
    <w:p w:rsidR="00000000" w:rsidDel="00000000" w:rsidP="00000000" w:rsidRDefault="00000000" w:rsidRPr="00000000" w14:paraId="000000B1">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Simple interest in this example is $5.</w:t>
      </w:r>
    </w:p>
    <w:p w:rsidR="00000000" w:rsidDel="00000000" w:rsidP="00000000" w:rsidRDefault="00000000" w:rsidRPr="00000000" w14:paraId="000000B2">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Step 3. Calculate the total future amount using this formula:</w:t>
      </w:r>
    </w:p>
    <w:p w:rsidR="00000000" w:rsidDel="00000000" w:rsidP="00000000" w:rsidRDefault="00000000" w:rsidRPr="00000000" w14:paraId="000000B3">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Total future amount=principal+interest</w:t>
      </w:r>
    </w:p>
    <w:p w:rsidR="00000000" w:rsidDel="00000000" w:rsidP="00000000" w:rsidRDefault="00000000" w:rsidRPr="00000000" w14:paraId="000000B4">
      <w:pPr>
        <w:spacing w:after="220" w:before="220" w:lineRule="auto"/>
        <w:jc w:val="center"/>
        <w:rPr>
          <w:color w:val="424242"/>
          <w:sz w:val="21"/>
          <w:szCs w:val="21"/>
          <w:shd w:fill="ededed" w:val="clear"/>
        </w:rPr>
      </w:pPr>
      <w:r w:rsidDel="00000000" w:rsidR="00000000" w:rsidRPr="00000000">
        <w:rPr>
          <w:color w:val="424242"/>
          <w:sz w:val="21"/>
          <w:szCs w:val="21"/>
          <w:shd w:fill="ededed" w:val="clear"/>
          <w:rtl w:val="0"/>
        </w:rPr>
        <w:t xml:space="preserve">Total future amount</w:t>
      </w:r>
    </w:p>
    <w:p w:rsidR="00000000" w:rsidDel="00000000" w:rsidP="00000000" w:rsidRDefault="00000000" w:rsidRPr="00000000" w14:paraId="000000B5">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Step 4. Put the two simple interest formulas together.</w:t>
      </w:r>
    </w:p>
    <w:p w:rsidR="00000000" w:rsidDel="00000000" w:rsidP="00000000" w:rsidRDefault="00000000" w:rsidRPr="00000000" w14:paraId="000000B6">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Total future amount (with simple interest)=Principal+(Principal×Rate×Time)</w:t>
      </w:r>
    </w:p>
    <w:p w:rsidR="00000000" w:rsidDel="00000000" w:rsidP="00000000" w:rsidRDefault="00000000" w:rsidRPr="00000000" w14:paraId="000000B7">
      <w:pPr>
        <w:spacing w:after="220" w:before="220" w:lineRule="auto"/>
        <w:jc w:val="center"/>
        <w:rPr>
          <w:color w:val="424242"/>
          <w:sz w:val="21"/>
          <w:szCs w:val="21"/>
          <w:shd w:fill="ededed" w:val="clear"/>
        </w:rPr>
      </w:pPr>
      <w:r w:rsidDel="00000000" w:rsidR="00000000" w:rsidRPr="00000000">
        <w:rPr>
          <w:color w:val="424242"/>
          <w:sz w:val="21"/>
          <w:szCs w:val="21"/>
          <w:shd w:fill="ededed" w:val="clear"/>
          <w:rtl w:val="0"/>
        </w:rPr>
        <w:t xml:space="preserve">Total future amount (with simple interest)</w:t>
      </w:r>
    </w:p>
    <w:p w:rsidR="00000000" w:rsidDel="00000000" w:rsidP="00000000" w:rsidRDefault="00000000" w:rsidRPr="00000000" w14:paraId="000000B8">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Step 5. Apply the simple interest formula to our three year example.</w:t>
      </w:r>
    </w:p>
    <w:p w:rsidR="00000000" w:rsidDel="00000000" w:rsidP="00000000" w:rsidRDefault="00000000" w:rsidRPr="00000000" w14:paraId="000000B9">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Total future amount (with simple interest)=$100+($100×0.05×3)=$115</w:t>
      </w:r>
    </w:p>
    <w:p w:rsidR="00000000" w:rsidDel="00000000" w:rsidP="00000000" w:rsidRDefault="00000000" w:rsidRPr="00000000" w14:paraId="000000BA">
      <w:pPr>
        <w:spacing w:after="220" w:before="220" w:lineRule="auto"/>
        <w:jc w:val="center"/>
        <w:rPr>
          <w:color w:val="424242"/>
          <w:sz w:val="21"/>
          <w:szCs w:val="21"/>
          <w:shd w:fill="ededed" w:val="clear"/>
        </w:rPr>
      </w:pPr>
      <w:r w:rsidDel="00000000" w:rsidR="00000000" w:rsidRPr="00000000">
        <w:rPr>
          <w:color w:val="424242"/>
          <w:sz w:val="21"/>
          <w:szCs w:val="21"/>
          <w:shd w:fill="ededed" w:val="clear"/>
          <w:rtl w:val="0"/>
        </w:rPr>
        <w:t xml:space="preserve">Total future amount (with simple interest)</w:t>
      </w:r>
    </w:p>
    <w:p w:rsidR="00000000" w:rsidDel="00000000" w:rsidP="00000000" w:rsidRDefault="00000000" w:rsidRPr="00000000" w14:paraId="000000BB">
      <w:pPr>
        <w:spacing w:before="240" w:lineRule="auto"/>
        <w:rPr>
          <w:color w:val="424242"/>
          <w:sz w:val="21"/>
          <w:szCs w:val="21"/>
          <w:shd w:fill="ededed" w:val="clear"/>
        </w:rPr>
      </w:pPr>
      <w:r w:rsidDel="00000000" w:rsidR="00000000" w:rsidRPr="00000000">
        <w:rPr>
          <w:b w:val="1"/>
          <w:color w:val="424242"/>
          <w:sz w:val="21"/>
          <w:szCs w:val="21"/>
          <w:shd w:fill="ededed" w:val="clear"/>
          <w:rtl w:val="0"/>
        </w:rPr>
        <w:t xml:space="preserve">Compound interest</w:t>
      </w:r>
      <w:r w:rsidDel="00000000" w:rsidR="00000000" w:rsidRPr="00000000">
        <w:rPr>
          <w:color w:val="424242"/>
          <w:sz w:val="21"/>
          <w:szCs w:val="21"/>
          <w:shd w:fill="ededed" w:val="clear"/>
          <w:rtl w:val="0"/>
        </w:rPr>
        <w:t xml:space="preserve"> is an interest rate calculation on the principal plus the accumulated interest.</w:t>
      </w:r>
    </w:p>
    <w:p w:rsidR="00000000" w:rsidDel="00000000" w:rsidP="00000000" w:rsidRDefault="00000000" w:rsidRPr="00000000" w14:paraId="000000BC">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Step 6. To find the compound interest, we determine the difference between the future value and the present value of the principal. This is accomplished as follows:</w:t>
      </w:r>
    </w:p>
    <w:p w:rsidR="00000000" w:rsidDel="00000000" w:rsidP="00000000" w:rsidRDefault="00000000" w:rsidRPr="00000000" w14:paraId="000000BD">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Future Value=Principal × </w:t>
      </w:r>
    </w:p>
    <w:p w:rsidR="00000000" w:rsidDel="00000000" w:rsidP="00000000" w:rsidRDefault="00000000" w:rsidRPr="00000000" w14:paraId="000000BE">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(1 + interest rate)</w:t>
      </w:r>
    </w:p>
    <w:p w:rsidR="00000000" w:rsidDel="00000000" w:rsidP="00000000" w:rsidRDefault="00000000" w:rsidRPr="00000000" w14:paraId="000000BF">
      <w:pPr>
        <w:spacing w:after="220" w:before="220" w:lineRule="auto"/>
        <w:jc w:val="center"/>
        <w:rPr>
          <w:color w:val="424242"/>
          <w:sz w:val="18"/>
          <w:szCs w:val="18"/>
          <w:shd w:fill="ededed" w:val="clear"/>
        </w:rPr>
      </w:pPr>
      <w:r w:rsidDel="00000000" w:rsidR="00000000" w:rsidRPr="00000000">
        <w:rPr>
          <w:color w:val="424242"/>
          <w:sz w:val="18"/>
          <w:szCs w:val="18"/>
          <w:shd w:fill="ededed" w:val="clear"/>
          <w:rtl w:val="0"/>
        </w:rPr>
        <w:t xml:space="preserve">time</w:t>
      </w:r>
    </w:p>
    <w:p w:rsidR="00000000" w:rsidDel="00000000" w:rsidP="00000000" w:rsidRDefault="00000000" w:rsidRPr="00000000" w14:paraId="000000C0">
      <w:pPr>
        <w:spacing w:after="220" w:before="220" w:lineRule="auto"/>
        <w:jc w:val="center"/>
        <w:rPr>
          <w:color w:val="424242"/>
          <w:sz w:val="21"/>
          <w:szCs w:val="21"/>
          <w:shd w:fill="ededed" w:val="clear"/>
        </w:rPr>
      </w:pPr>
      <w:r w:rsidDel="00000000" w:rsidR="00000000" w:rsidRPr="00000000">
        <w:rPr>
          <w:color w:val="424242"/>
          <w:sz w:val="21"/>
          <w:szCs w:val="21"/>
          <w:shd w:fill="ededed" w:val="clear"/>
          <w:rtl w:val="0"/>
        </w:rPr>
        <w:t xml:space="preserve">Future Value=Principal × (1 + interest rate)time</w:t>
      </w:r>
    </w:p>
    <w:p w:rsidR="00000000" w:rsidDel="00000000" w:rsidP="00000000" w:rsidRDefault="00000000" w:rsidRPr="00000000" w14:paraId="000000C1">
      <w:pPr>
        <w:spacing w:after="220" w:before="220" w:lineRule="auto"/>
        <w:jc w:val="center"/>
        <w:rPr>
          <w:color w:val="424242"/>
          <w:sz w:val="25"/>
          <w:szCs w:val="25"/>
          <w:shd w:fill="ededed" w:val="clear"/>
        </w:rPr>
      </w:pPr>
      <w:r w:rsidDel="00000000" w:rsidR="00000000" w:rsidRPr="00000000">
        <w:rPr>
          <w:color w:val="424242"/>
          <w:sz w:val="25"/>
          <w:szCs w:val="25"/>
          <w:shd w:fill="ededed" w:val="clear"/>
          <w:rtl w:val="0"/>
        </w:rPr>
        <w:t xml:space="preserve">Compound interest=Future Value–Present Valve</w:t>
      </w:r>
    </w:p>
    <w:p w:rsidR="00000000" w:rsidDel="00000000" w:rsidP="00000000" w:rsidRDefault="00000000" w:rsidRPr="00000000" w14:paraId="000000C2">
      <w:pPr>
        <w:spacing w:after="220" w:before="220" w:lineRule="auto"/>
        <w:jc w:val="center"/>
        <w:rPr>
          <w:color w:val="424242"/>
          <w:sz w:val="21"/>
          <w:szCs w:val="21"/>
          <w:shd w:fill="ededed" w:val="clear"/>
        </w:rPr>
      </w:pPr>
      <w:r w:rsidDel="00000000" w:rsidR="00000000" w:rsidRPr="00000000">
        <w:rPr>
          <w:color w:val="424242"/>
          <w:sz w:val="21"/>
          <w:szCs w:val="21"/>
          <w:shd w:fill="ededed" w:val="clear"/>
          <w:rtl w:val="0"/>
        </w:rPr>
        <w:t xml:space="preserve">Compound interest</w:t>
      </w:r>
    </w:p>
    <w:p w:rsidR="00000000" w:rsidDel="00000000" w:rsidP="00000000" w:rsidRDefault="00000000" w:rsidRPr="00000000" w14:paraId="000000C3">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Step 7. Apply this formula to our three-year scenario. Follow the calculations in</w:t>
      </w:r>
    </w:p>
    <w:p w:rsidR="00000000" w:rsidDel="00000000" w:rsidP="00000000" w:rsidRDefault="00000000" w:rsidRPr="00000000" w14:paraId="000000C4">
      <w:pPr>
        <w:spacing w:before="240" w:lineRule="auto"/>
        <w:rPr>
          <w:color w:val="027eb5"/>
          <w:sz w:val="21"/>
          <w:szCs w:val="21"/>
          <w:u w:val="single"/>
          <w:shd w:fill="ededed" w:val="clear"/>
        </w:rPr>
      </w:pPr>
      <w:hyperlink r:id="rId18">
        <w:r w:rsidDel="00000000" w:rsidR="00000000" w:rsidRPr="00000000">
          <w:rPr>
            <w:color w:val="027eb5"/>
            <w:sz w:val="21"/>
            <w:szCs w:val="21"/>
            <w:u w:val="single"/>
            <w:shd w:fill="ededed" w:val="clear"/>
            <w:rtl w:val="0"/>
          </w:rPr>
          <w:t xml:space="preserve">Table 17.4</w:t>
        </w:r>
      </w:hyperlink>
      <w:r w:rsidDel="00000000" w:rsidR="00000000" w:rsidRPr="00000000">
        <w:rPr>
          <w:rtl w:val="0"/>
        </w:rPr>
      </w:r>
    </w:p>
    <w:tbl>
      <w:tblPr>
        <w:tblStyle w:val="Table4"/>
        <w:tblW w:w="9360.0" w:type="dxa"/>
        <w:jc w:val="left"/>
        <w:tblInd w:w="2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64.2105263157896"/>
        <w:gridCol w:w="5295.78947368421"/>
        <w:tblGridChange w:id="0">
          <w:tblGrid>
            <w:gridCol w:w="4064.2105263157896"/>
            <w:gridCol w:w="5295.78947368421"/>
          </w:tblGrid>
        </w:tblGridChange>
      </w:tblGrid>
      <w:tr>
        <w:trPr>
          <w:trHeight w:val="555" w:hRule="atLeast"/>
        </w:trPr>
        <w:tc>
          <w:tcPr>
            <w:gridSpan w:val="2"/>
            <w:tcBorders>
              <w:top w:color="dddddd" w:space="0" w:sz="10" w:val="single"/>
              <w:left w:color="dddddd" w:space="0" w:sz="10" w:val="single"/>
              <w:bottom w:color="dddddd" w:space="0" w:sz="10" w:val="single"/>
              <w:right w:color="dddddd" w:space="0" w:sz="10" w:val="single"/>
            </w:tcBorders>
            <w:tcMar>
              <w:top w:w="100.0" w:type="dxa"/>
              <w:left w:w="220.0" w:type="dxa"/>
              <w:bottom w:w="100.0" w:type="dxa"/>
              <w:right w:w="220.0" w:type="dxa"/>
            </w:tcMar>
            <w:vAlign w:val="center"/>
          </w:tcPr>
          <w:p w:rsidR="00000000" w:rsidDel="00000000" w:rsidP="00000000" w:rsidRDefault="00000000" w:rsidRPr="00000000" w14:paraId="000000C5">
            <w:pPr>
              <w:spacing w:after="300" w:before="300" w:lineRule="auto"/>
              <w:jc w:val="center"/>
              <w:rPr>
                <w:color w:val="424242"/>
                <w:sz w:val="21"/>
                <w:szCs w:val="21"/>
                <w:shd w:fill="ededed" w:val="clear"/>
              </w:rPr>
            </w:pPr>
            <w:r w:rsidDel="00000000" w:rsidR="00000000" w:rsidRPr="00000000">
              <w:rPr>
                <w:b w:val="1"/>
                <w:color w:val="424242"/>
                <w:sz w:val="21"/>
                <w:szCs w:val="21"/>
                <w:shd w:fill="ededed" w:val="clear"/>
                <w:rtl w:val="0"/>
              </w:rPr>
              <w:t xml:space="preserve">Year 1</w:t>
            </w:r>
            <w:r w:rsidDel="00000000" w:rsidR="00000000" w:rsidRPr="00000000">
              <w:rPr>
                <w:rtl w:val="0"/>
              </w:rPr>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7">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Amount in Bank</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8">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$100</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9">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Bank Interest Rate</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A">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B">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Total</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C">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$105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D">
            <w:pPr>
              <w:spacing w:after="300" w:before="300" w:lineRule="auto"/>
              <w:rPr>
                <w:color w:val="424242"/>
                <w:sz w:val="21"/>
                <w:szCs w:val="21"/>
                <w:shd w:fill="ededed" w:val="clear"/>
              </w:rPr>
            </w:pPr>
            <w:r w:rsidDel="00000000" w:rsidR="00000000" w:rsidRPr="00000000">
              <w:rPr>
                <w:rtl w:val="0"/>
              </w:rPr>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E">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$100 + ($100 × 0.5)</w:t>
            </w:r>
          </w:p>
        </w:tc>
      </w:tr>
      <w:tr>
        <w:trPr>
          <w:trHeight w:val="555" w:hRule="atLeast"/>
        </w:trPr>
        <w:tc>
          <w:tcPr>
            <w:gridSpan w:val="2"/>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CF">
            <w:pPr>
              <w:spacing w:after="300" w:before="300" w:lineRule="auto"/>
              <w:jc w:val="center"/>
              <w:rPr>
                <w:color w:val="424242"/>
                <w:sz w:val="21"/>
                <w:szCs w:val="21"/>
                <w:shd w:fill="ededed" w:val="clear"/>
              </w:rPr>
            </w:pPr>
            <w:r w:rsidDel="00000000" w:rsidR="00000000" w:rsidRPr="00000000">
              <w:rPr>
                <w:b w:val="1"/>
                <w:color w:val="424242"/>
                <w:sz w:val="21"/>
                <w:szCs w:val="21"/>
                <w:shd w:fill="ededed" w:val="clear"/>
                <w:rtl w:val="0"/>
              </w:rPr>
              <w:t xml:space="preserve">Year 2</w:t>
            </w:r>
            <w:r w:rsidDel="00000000" w:rsidR="00000000" w:rsidRPr="00000000">
              <w:rPr>
                <w:rtl w:val="0"/>
              </w:rPr>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1">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Amount in Bank</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2">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$105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3">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Bank Interest Rate</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4">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5">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Total</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6">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$110.25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7">
            <w:pPr>
              <w:spacing w:after="300" w:before="300" w:lineRule="auto"/>
              <w:rPr>
                <w:color w:val="424242"/>
                <w:sz w:val="21"/>
                <w:szCs w:val="21"/>
                <w:shd w:fill="ededed" w:val="clear"/>
              </w:rPr>
            </w:pPr>
            <w:r w:rsidDel="00000000" w:rsidR="00000000" w:rsidRPr="00000000">
              <w:rPr>
                <w:rtl w:val="0"/>
              </w:rPr>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8">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$105 + ($105 × .05)</w:t>
            </w:r>
          </w:p>
        </w:tc>
      </w:tr>
      <w:tr>
        <w:trPr>
          <w:trHeight w:val="555" w:hRule="atLeast"/>
        </w:trPr>
        <w:tc>
          <w:tcPr>
            <w:gridSpan w:val="2"/>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9">
            <w:pPr>
              <w:spacing w:after="300" w:before="300" w:lineRule="auto"/>
              <w:jc w:val="center"/>
              <w:rPr>
                <w:color w:val="424242"/>
                <w:sz w:val="21"/>
                <w:szCs w:val="21"/>
                <w:shd w:fill="ededed" w:val="clear"/>
              </w:rPr>
            </w:pPr>
            <w:r w:rsidDel="00000000" w:rsidR="00000000" w:rsidRPr="00000000">
              <w:rPr>
                <w:b w:val="1"/>
                <w:color w:val="424242"/>
                <w:sz w:val="21"/>
                <w:szCs w:val="21"/>
                <w:shd w:fill="ededed" w:val="clear"/>
                <w:rtl w:val="0"/>
              </w:rPr>
              <w:t xml:space="preserve">Year 3</w:t>
            </w:r>
            <w:r w:rsidDel="00000000" w:rsidR="00000000" w:rsidRPr="00000000">
              <w:rPr>
                <w:rtl w:val="0"/>
              </w:rPr>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B">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Amount in Bank</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C">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$110.25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D">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Bank Interest Rate</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E">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DF">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Total</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E0">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$115.75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E1">
            <w:pPr>
              <w:spacing w:after="300" w:before="300" w:lineRule="auto"/>
              <w:rPr>
                <w:color w:val="424242"/>
                <w:sz w:val="21"/>
                <w:szCs w:val="21"/>
                <w:shd w:fill="ededed" w:val="clear"/>
              </w:rPr>
            </w:pPr>
            <w:r w:rsidDel="00000000" w:rsidR="00000000" w:rsidRPr="00000000">
              <w:rPr>
                <w:rtl w:val="0"/>
              </w:rPr>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E2">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$110.25 + ($110.25 × .05)</w:t>
            </w:r>
          </w:p>
        </w:tc>
      </w:tr>
      <w:tr>
        <w:trPr>
          <w:trHeight w:val="555" w:hRule="atLeast"/>
        </w:trPr>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E3">
            <w:pPr>
              <w:spacing w:after="300" w:before="300" w:lineRule="auto"/>
              <w:rPr>
                <w:color w:val="424242"/>
                <w:sz w:val="21"/>
                <w:szCs w:val="21"/>
                <w:shd w:fill="ededed" w:val="clear"/>
              </w:rPr>
            </w:pPr>
            <w:r w:rsidDel="00000000" w:rsidR="00000000" w:rsidRPr="00000000">
              <w:rPr>
                <w:color w:val="424242"/>
                <w:sz w:val="21"/>
                <w:szCs w:val="21"/>
                <w:shd w:fill="ededed" w:val="clear"/>
                <w:rtl w:val="0"/>
              </w:rPr>
              <w:t xml:space="preserve">Compound interest</w:t>
            </w:r>
          </w:p>
        </w:tc>
        <w:tc>
          <w:tcPr>
            <w:tcBorders>
              <w:top w:color="dddddd" w:space="0" w:sz="10" w:val="single"/>
              <w:left w:color="dddddd" w:space="0" w:sz="10" w:val="single"/>
              <w:bottom w:color="dddddd" w:space="0" w:sz="10" w:val="single"/>
              <w:right w:color="dddddd" w:space="0" w:sz="10" w:val="single"/>
            </w:tcBorders>
            <w:shd w:fill="auto" w:val="clear"/>
            <w:tcMar>
              <w:top w:w="100.0" w:type="dxa"/>
              <w:left w:w="220.0" w:type="dxa"/>
              <w:bottom w:w="100.0" w:type="dxa"/>
              <w:right w:w="220.0" w:type="dxa"/>
            </w:tcMar>
            <w:vAlign w:val="center"/>
          </w:tcPr>
          <w:p w:rsidR="00000000" w:rsidDel="00000000" w:rsidP="00000000" w:rsidRDefault="00000000" w:rsidRPr="00000000" w14:paraId="000000E4">
            <w:pPr>
              <w:spacing w:after="300" w:before="300" w:lineRule="auto"/>
              <w:jc w:val="center"/>
              <w:rPr>
                <w:color w:val="424242"/>
                <w:sz w:val="21"/>
                <w:szCs w:val="21"/>
                <w:shd w:fill="ededed" w:val="clear"/>
              </w:rPr>
            </w:pPr>
            <w:r w:rsidDel="00000000" w:rsidR="00000000" w:rsidRPr="00000000">
              <w:rPr>
                <w:color w:val="424242"/>
                <w:sz w:val="21"/>
                <w:szCs w:val="21"/>
                <w:shd w:fill="ededed" w:val="clear"/>
                <w:rtl w:val="0"/>
              </w:rPr>
              <w:t xml:space="preserve">$115.75 – $100 = $15.75</w:t>
            </w:r>
          </w:p>
        </w:tc>
      </w:tr>
    </w:tbl>
    <w:p w:rsidR="00000000" w:rsidDel="00000000" w:rsidP="00000000" w:rsidRDefault="00000000" w:rsidRPr="00000000" w14:paraId="000000E5">
      <w:pPr>
        <w:spacing w:after="300" w:before="300" w:lineRule="auto"/>
        <w:rPr>
          <w:b w:val="1"/>
          <w:color w:val="424242"/>
          <w:sz w:val="19"/>
          <w:szCs w:val="19"/>
          <w:shd w:fill="ededed" w:val="clear"/>
        </w:rPr>
      </w:pPr>
      <w:r w:rsidDel="00000000" w:rsidR="00000000" w:rsidRPr="00000000">
        <w:rPr>
          <w:b w:val="1"/>
          <w:color w:val="424242"/>
          <w:sz w:val="19"/>
          <w:szCs w:val="19"/>
          <w:shd w:fill="ededed" w:val="clear"/>
          <w:rtl w:val="0"/>
        </w:rPr>
        <w:t xml:space="preserve">Table17.4</w:t>
      </w:r>
    </w:p>
    <w:p w:rsidR="00000000" w:rsidDel="00000000" w:rsidP="00000000" w:rsidRDefault="00000000" w:rsidRPr="00000000" w14:paraId="000000E6">
      <w:pPr>
        <w:spacing w:before="240" w:lineRule="auto"/>
        <w:rPr>
          <w:color w:val="424242"/>
          <w:sz w:val="21"/>
          <w:szCs w:val="21"/>
          <w:shd w:fill="ededed" w:val="clear"/>
        </w:rPr>
      </w:pPr>
      <w:r w:rsidDel="00000000" w:rsidR="00000000" w:rsidRPr="00000000">
        <w:rPr>
          <w:color w:val="424242"/>
          <w:sz w:val="21"/>
          <w:szCs w:val="21"/>
          <w:shd w:fill="ededed" w:val="clear"/>
          <w:rtl w:val="0"/>
        </w:rPr>
        <w:t xml:space="preserve">Step 8. Note that, after three years, the total is $115.76. Therefore the total compound interest is $15.76. This is $0.76 more than we obtained with simple interest. While this may not seem like much, keep in mind that we were only working with $100 and over a relatively short time period. Compound interest can make a huge difference with larger sums of money and over longer periods of time.</w:t>
      </w:r>
    </w:p>
    <w:p w:rsidR="00000000" w:rsidDel="00000000" w:rsidP="00000000" w:rsidRDefault="00000000" w:rsidRPr="00000000" w14:paraId="000000E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https://openstax.org/books/principles-microeconomics-ap-courses-2e/pages/17-2-how-households-supply-financial-capital#CNX_Econ_C17_003" TargetMode="External"/><Relationship Id="rId13" Type="http://schemas.openxmlformats.org/officeDocument/2006/relationships/hyperlink" Target="https://openstax.org/books/principles-microeconomics-ap-courses-2e/pages/17-2-how-households-supply-financial-capital#CNX_Econ_C17_004" TargetMode="External"/><Relationship Id="rId12" Type="http://schemas.openxmlformats.org/officeDocument/2006/relationships/hyperlink" Target="https://openstax.org/books/principles-microeconomics-ap-courses-2e/pages/17-2-how-households-supply-financial-capital#ch17mod02_tab0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5" Type="http://schemas.openxmlformats.org/officeDocument/2006/relationships/hyperlink" Target="https://openstax.org/books/principles-microeconomics-ap-courses-2e/pages/17-2-how-households-supply-financial-capital#ch17mod02_tab02" TargetMode="External"/><Relationship Id="rId14" Type="http://schemas.openxmlformats.org/officeDocument/2006/relationships/image" Target="media/image1.jpg"/><Relationship Id="rId17" Type="http://schemas.openxmlformats.org/officeDocument/2006/relationships/hyperlink" Target="https://openstax.org/books/principles-microeconomics-ap-courses-2e/pages/17-2-how-households-supply-financial-capital#ch17mod02_tab03" TargetMode="External"/><Relationship Id="rId16" Type="http://schemas.openxmlformats.org/officeDocument/2006/relationships/image" Target="media/image4.jpg"/><Relationship Id="rId5" Type="http://schemas.openxmlformats.org/officeDocument/2006/relationships/styles" Target="styles.xml"/><Relationship Id="rId6" Type="http://schemas.openxmlformats.org/officeDocument/2006/relationships/hyperlink" Target="https://openstax.org/books/principles-microeconomics-ap-courses-2e/pages/17-2-how-households-supply-financial-capital#CNX_Econ_C17_001" TargetMode="External"/><Relationship Id="rId18" Type="http://schemas.openxmlformats.org/officeDocument/2006/relationships/hyperlink" Target="https://openstax.org/books/principles-microeconomics-ap-courses-2e/pages/17-3-how-to-accumulate-personal-wealth#ch17mod03_tab04" TargetMode="External"/><Relationship Id="rId7" Type="http://schemas.openxmlformats.org/officeDocument/2006/relationships/image" Target="media/image2.jpg"/><Relationship Id="rId8" Type="http://schemas.openxmlformats.org/officeDocument/2006/relationships/hyperlink" Target="https://openstax.org/books/principles-microeconomics-ap-courses-2e/pages/17-2-how-households-supply-financial-capital#CNX_Econ_C17_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